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1686"/>
        <w:gridCol w:w="1676"/>
        <w:gridCol w:w="3357"/>
      </w:tblGrid>
      <w:tr w:rsidR="00974902" w:rsidTr="00495057">
        <w:tc>
          <w:tcPr>
            <w:tcW w:w="10080" w:type="dxa"/>
            <w:gridSpan w:val="4"/>
            <w:tcBorders>
              <w:bottom w:val="double" w:sz="4" w:space="0" w:color="auto"/>
            </w:tcBorders>
          </w:tcPr>
          <w:p w:rsidR="00974902" w:rsidRDefault="00AF24A7">
            <w:pPr>
              <w:pStyle w:val="BAS-Title"/>
            </w:pPr>
            <w:r>
              <w:t>Invitation to Negotiate (ITN)</w:t>
            </w:r>
          </w:p>
        </w:tc>
      </w:tr>
      <w:tr w:rsidR="00974902" w:rsidTr="00495057">
        <w:tc>
          <w:tcPr>
            <w:tcW w:w="10080" w:type="dxa"/>
            <w:gridSpan w:val="4"/>
            <w:tcBorders>
              <w:top w:val="double" w:sz="4" w:space="0" w:color="auto"/>
              <w:bottom w:val="double" w:sz="4" w:space="0" w:color="auto"/>
            </w:tcBorders>
          </w:tcPr>
          <w:p w:rsidR="00974902" w:rsidRDefault="00974902">
            <w:pPr>
              <w:pStyle w:val="BAS-Normal0"/>
            </w:pPr>
          </w:p>
          <w:p w:rsidR="00974902" w:rsidRDefault="00AF24A7">
            <w:pPr>
              <w:pStyle w:val="BAS-Subtitle1"/>
            </w:pPr>
            <w:r>
              <w:t>Index Replication for the Stanley G. Tate Florida Prepaid College Program and the Florida 529 Savings Plan</w:t>
            </w:r>
          </w:p>
          <w:p w:rsidR="00974902" w:rsidRDefault="00974902">
            <w:pPr>
              <w:pStyle w:val="BAS-Normal0"/>
            </w:pPr>
          </w:p>
        </w:tc>
      </w:tr>
      <w:tr w:rsidR="00974902" w:rsidTr="00495057">
        <w:trPr>
          <w:trHeight w:val="1545"/>
        </w:trPr>
        <w:tc>
          <w:tcPr>
            <w:tcW w:w="10080" w:type="dxa"/>
            <w:gridSpan w:val="4"/>
            <w:tcBorders>
              <w:top w:val="double" w:sz="4" w:space="0" w:color="auto"/>
              <w:bottom w:val="single" w:sz="4" w:space="0" w:color="auto"/>
            </w:tcBorders>
          </w:tcPr>
          <w:p w:rsidR="00974902" w:rsidRDefault="00AF24A7">
            <w:pPr>
              <w:pStyle w:val="BAS-Subtitle2"/>
            </w:pPr>
            <w:r>
              <w:t>Florida Prepaid College Board</w:t>
            </w:r>
          </w:p>
          <w:p w:rsidR="00974902" w:rsidRDefault="00974902">
            <w:pPr>
              <w:pStyle w:val="BAS-Subtitle2"/>
            </w:pPr>
          </w:p>
          <w:p w:rsidR="00974902" w:rsidRDefault="00974902">
            <w:pPr>
              <w:pStyle w:val="BAS-Subtitle2"/>
            </w:pPr>
          </w:p>
        </w:tc>
      </w:tr>
      <w:tr w:rsidR="00974902" w:rsidTr="00495057">
        <w:trPr>
          <w:trHeight w:val="576"/>
        </w:trPr>
        <w:tc>
          <w:tcPr>
            <w:tcW w:w="5047" w:type="dxa"/>
            <w:gridSpan w:val="2"/>
            <w:tcBorders>
              <w:top w:val="single" w:sz="4" w:space="0" w:color="auto"/>
              <w:left w:val="single" w:sz="4" w:space="0" w:color="auto"/>
              <w:bottom w:val="single" w:sz="4" w:space="0" w:color="auto"/>
              <w:right w:val="single" w:sz="4" w:space="0" w:color="auto"/>
            </w:tcBorders>
            <w:vAlign w:val="center"/>
          </w:tcPr>
          <w:p w:rsidR="00974902" w:rsidRDefault="00AF24A7">
            <w:pPr>
              <w:pStyle w:val="BAS-Normal0"/>
            </w:pPr>
            <w:r>
              <w:t>Issue Date:</w:t>
            </w:r>
          </w:p>
        </w:tc>
        <w:tc>
          <w:tcPr>
            <w:tcW w:w="5033" w:type="dxa"/>
            <w:gridSpan w:val="2"/>
            <w:tcBorders>
              <w:top w:val="single" w:sz="4" w:space="0" w:color="auto"/>
              <w:left w:val="single" w:sz="4" w:space="0" w:color="auto"/>
              <w:bottom w:val="single" w:sz="4" w:space="0" w:color="auto"/>
              <w:right w:val="single" w:sz="4" w:space="0" w:color="auto"/>
            </w:tcBorders>
            <w:vAlign w:val="center"/>
          </w:tcPr>
          <w:p w:rsidR="00974902" w:rsidRPr="0023582C" w:rsidRDefault="003364A2">
            <w:pPr>
              <w:pStyle w:val="BAS-Normal0"/>
              <w:jc w:val="center"/>
            </w:pPr>
            <w:r>
              <w:br/>
              <w:t>May 5</w:t>
            </w:r>
            <w:r w:rsidR="00AF24A7" w:rsidRPr="0023582C">
              <w:t>, 2017</w:t>
            </w:r>
          </w:p>
        </w:tc>
      </w:tr>
      <w:tr w:rsidR="00974902" w:rsidTr="00495057">
        <w:trPr>
          <w:trHeight w:val="576"/>
        </w:trPr>
        <w:tc>
          <w:tcPr>
            <w:tcW w:w="5047" w:type="dxa"/>
            <w:gridSpan w:val="2"/>
            <w:tcBorders>
              <w:top w:val="single" w:sz="4" w:space="0" w:color="auto"/>
              <w:left w:val="single" w:sz="4" w:space="0" w:color="auto"/>
              <w:bottom w:val="single" w:sz="4" w:space="0" w:color="auto"/>
              <w:right w:val="single" w:sz="4" w:space="0" w:color="auto"/>
            </w:tcBorders>
            <w:vAlign w:val="center"/>
          </w:tcPr>
          <w:p w:rsidR="00974902" w:rsidRDefault="00AF24A7">
            <w:pPr>
              <w:pStyle w:val="BAS-Normal0"/>
            </w:pPr>
            <w:r>
              <w:t>Questions Deadline:</w:t>
            </w:r>
          </w:p>
        </w:tc>
        <w:tc>
          <w:tcPr>
            <w:tcW w:w="5033" w:type="dxa"/>
            <w:gridSpan w:val="2"/>
            <w:tcBorders>
              <w:top w:val="single" w:sz="4" w:space="0" w:color="auto"/>
              <w:left w:val="single" w:sz="4" w:space="0" w:color="auto"/>
              <w:bottom w:val="single" w:sz="4" w:space="0" w:color="auto"/>
              <w:right w:val="single" w:sz="4" w:space="0" w:color="auto"/>
            </w:tcBorders>
            <w:vAlign w:val="center"/>
          </w:tcPr>
          <w:p w:rsidR="00974902" w:rsidRPr="0023582C" w:rsidRDefault="003364A2" w:rsidP="0046752C">
            <w:pPr>
              <w:pStyle w:val="BAS-Normal0"/>
              <w:jc w:val="center"/>
            </w:pPr>
            <w:r>
              <w:t>May 12</w:t>
            </w:r>
            <w:r w:rsidR="00AF24A7" w:rsidRPr="0023582C">
              <w:t>, 2017 12:00PM ET</w:t>
            </w:r>
          </w:p>
        </w:tc>
      </w:tr>
      <w:tr w:rsidR="00974902" w:rsidTr="00495057">
        <w:trPr>
          <w:trHeight w:val="576"/>
        </w:trPr>
        <w:tc>
          <w:tcPr>
            <w:tcW w:w="5047" w:type="dxa"/>
            <w:gridSpan w:val="2"/>
            <w:tcBorders>
              <w:top w:val="single" w:sz="4" w:space="0" w:color="auto"/>
              <w:left w:val="single" w:sz="4" w:space="0" w:color="auto"/>
              <w:bottom w:val="single" w:sz="4" w:space="0" w:color="auto"/>
              <w:right w:val="single" w:sz="4" w:space="0" w:color="auto"/>
            </w:tcBorders>
            <w:vAlign w:val="center"/>
          </w:tcPr>
          <w:p w:rsidR="00974902" w:rsidRDefault="00AF24A7">
            <w:pPr>
              <w:pStyle w:val="BAS-Normal0"/>
            </w:pPr>
            <w:r>
              <w:t>Responses to Questions Posted:</w:t>
            </w:r>
          </w:p>
        </w:tc>
        <w:tc>
          <w:tcPr>
            <w:tcW w:w="5033" w:type="dxa"/>
            <w:gridSpan w:val="2"/>
            <w:tcBorders>
              <w:top w:val="single" w:sz="4" w:space="0" w:color="auto"/>
              <w:left w:val="single" w:sz="4" w:space="0" w:color="auto"/>
              <w:bottom w:val="single" w:sz="4" w:space="0" w:color="auto"/>
              <w:right w:val="single" w:sz="4" w:space="0" w:color="auto"/>
            </w:tcBorders>
            <w:vAlign w:val="center"/>
          </w:tcPr>
          <w:p w:rsidR="00974902" w:rsidRPr="0023582C" w:rsidRDefault="003364A2">
            <w:pPr>
              <w:pStyle w:val="BAS-Normal0"/>
              <w:jc w:val="center"/>
            </w:pPr>
            <w:r>
              <w:t>May 19</w:t>
            </w:r>
            <w:r w:rsidR="00AF24A7" w:rsidRPr="0023582C">
              <w:t>, 2017</w:t>
            </w:r>
          </w:p>
        </w:tc>
      </w:tr>
      <w:tr w:rsidR="00974902" w:rsidTr="00495057">
        <w:trPr>
          <w:trHeight w:val="576"/>
        </w:trPr>
        <w:tc>
          <w:tcPr>
            <w:tcW w:w="5047" w:type="dxa"/>
            <w:gridSpan w:val="2"/>
            <w:tcBorders>
              <w:top w:val="single" w:sz="4" w:space="0" w:color="auto"/>
              <w:left w:val="single" w:sz="4" w:space="0" w:color="auto"/>
              <w:bottom w:val="single" w:sz="4" w:space="0" w:color="auto"/>
              <w:right w:val="single" w:sz="4" w:space="0" w:color="auto"/>
            </w:tcBorders>
            <w:vAlign w:val="center"/>
          </w:tcPr>
          <w:p w:rsidR="00974902" w:rsidRDefault="00AF24A7">
            <w:pPr>
              <w:pStyle w:val="BAS-Normal0"/>
            </w:pPr>
            <w:r>
              <w:t>Response Deadline:</w:t>
            </w:r>
          </w:p>
        </w:tc>
        <w:tc>
          <w:tcPr>
            <w:tcW w:w="5033" w:type="dxa"/>
            <w:gridSpan w:val="2"/>
            <w:tcBorders>
              <w:top w:val="single" w:sz="4" w:space="0" w:color="auto"/>
              <w:left w:val="single" w:sz="4" w:space="0" w:color="auto"/>
              <w:bottom w:val="single" w:sz="4" w:space="0" w:color="auto"/>
              <w:right w:val="single" w:sz="4" w:space="0" w:color="auto"/>
            </w:tcBorders>
            <w:vAlign w:val="center"/>
          </w:tcPr>
          <w:p w:rsidR="00974902" w:rsidRPr="0023582C" w:rsidRDefault="003364A2">
            <w:pPr>
              <w:pStyle w:val="BAS-Normal0"/>
              <w:jc w:val="center"/>
            </w:pPr>
            <w:r>
              <w:t>June 1</w:t>
            </w:r>
            <w:r w:rsidR="00AF24A7" w:rsidRPr="0023582C">
              <w:t>, 2017 12:00PM ET</w:t>
            </w:r>
          </w:p>
        </w:tc>
      </w:tr>
      <w:tr w:rsidR="00974902" w:rsidTr="00495057">
        <w:trPr>
          <w:trHeight w:val="576"/>
        </w:trPr>
        <w:tc>
          <w:tcPr>
            <w:tcW w:w="5047" w:type="dxa"/>
            <w:gridSpan w:val="2"/>
            <w:tcBorders>
              <w:top w:val="single" w:sz="4" w:space="0" w:color="auto"/>
              <w:left w:val="single" w:sz="4" w:space="0" w:color="auto"/>
              <w:bottom w:val="single" w:sz="4" w:space="0" w:color="auto"/>
              <w:right w:val="single" w:sz="4" w:space="0" w:color="auto"/>
            </w:tcBorders>
            <w:vAlign w:val="center"/>
          </w:tcPr>
          <w:p w:rsidR="00974902" w:rsidRDefault="00AF24A7">
            <w:pPr>
              <w:pStyle w:val="BAS-Normal0"/>
            </w:pPr>
            <w:r>
              <w:t>Anticipated Contract Start:</w:t>
            </w:r>
          </w:p>
        </w:tc>
        <w:tc>
          <w:tcPr>
            <w:tcW w:w="5033" w:type="dxa"/>
            <w:gridSpan w:val="2"/>
            <w:tcBorders>
              <w:top w:val="single" w:sz="4" w:space="0" w:color="auto"/>
              <w:left w:val="single" w:sz="4" w:space="0" w:color="auto"/>
              <w:bottom w:val="single" w:sz="4" w:space="0" w:color="auto"/>
              <w:right w:val="single" w:sz="4" w:space="0" w:color="auto"/>
            </w:tcBorders>
            <w:vAlign w:val="center"/>
          </w:tcPr>
          <w:p w:rsidR="00974902" w:rsidRPr="0023582C" w:rsidRDefault="00AF24A7">
            <w:pPr>
              <w:pStyle w:val="BAS-Normal0"/>
              <w:jc w:val="center"/>
            </w:pPr>
            <w:r w:rsidRPr="0023582C">
              <w:t>July 2017</w:t>
            </w:r>
          </w:p>
        </w:tc>
      </w:tr>
      <w:tr w:rsidR="00974902" w:rsidTr="00495057">
        <w:tc>
          <w:tcPr>
            <w:tcW w:w="10080" w:type="dxa"/>
            <w:gridSpan w:val="4"/>
            <w:tcBorders>
              <w:top w:val="single" w:sz="4" w:space="0" w:color="auto"/>
            </w:tcBorders>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rPr>
          <w:trHeight w:val="117"/>
        </w:trPr>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AF24A7">
            <w:pPr>
              <w:pStyle w:val="BAS-Title"/>
              <w:jc w:val="center"/>
            </w:pPr>
            <w:r>
              <w:t>ITN 17-01</w:t>
            </w: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c>
          <w:tcPr>
            <w:tcW w:w="10080" w:type="dxa"/>
            <w:gridSpan w:val="4"/>
          </w:tcPr>
          <w:p w:rsidR="00974902" w:rsidRDefault="00974902">
            <w:pPr>
              <w:pStyle w:val="BAS-Normal0"/>
            </w:pPr>
          </w:p>
        </w:tc>
      </w:tr>
      <w:tr w:rsidR="00974902" w:rsidTr="00495057">
        <w:trPr>
          <w:trHeight w:val="100"/>
        </w:trPr>
        <w:tc>
          <w:tcPr>
            <w:tcW w:w="3361" w:type="dxa"/>
            <w:tcBorders>
              <w:bottom w:val="single" w:sz="4" w:space="0" w:color="auto"/>
            </w:tcBorders>
          </w:tcPr>
          <w:p w:rsidR="00974902" w:rsidRDefault="00974902">
            <w:pPr>
              <w:pStyle w:val="BAS-Normal0"/>
            </w:pPr>
          </w:p>
        </w:tc>
        <w:tc>
          <w:tcPr>
            <w:tcW w:w="3362" w:type="dxa"/>
            <w:gridSpan w:val="2"/>
            <w:tcBorders>
              <w:bottom w:val="single" w:sz="4" w:space="0" w:color="auto"/>
            </w:tcBorders>
          </w:tcPr>
          <w:p w:rsidR="00974902" w:rsidRDefault="00AF24A7">
            <w:pPr>
              <w:pStyle w:val="BAS-Normal0"/>
              <w:jc w:val="center"/>
            </w:pPr>
            <w:r>
              <w:t>Commodity Codes</w:t>
            </w:r>
          </w:p>
        </w:tc>
        <w:tc>
          <w:tcPr>
            <w:tcW w:w="3357" w:type="dxa"/>
            <w:tcBorders>
              <w:bottom w:val="single" w:sz="4" w:space="0" w:color="auto"/>
            </w:tcBorders>
          </w:tcPr>
          <w:p w:rsidR="00974902" w:rsidRDefault="00974902">
            <w:pPr>
              <w:pStyle w:val="BAS-Normal0"/>
            </w:pPr>
          </w:p>
        </w:tc>
      </w:tr>
      <w:tr w:rsidR="00974902" w:rsidTr="00495057">
        <w:trPr>
          <w:trHeight w:val="100"/>
        </w:trPr>
        <w:tc>
          <w:tcPr>
            <w:tcW w:w="3361" w:type="dxa"/>
            <w:tcBorders>
              <w:top w:val="single" w:sz="4" w:space="0" w:color="auto"/>
            </w:tcBorders>
          </w:tcPr>
          <w:p w:rsidR="00974902" w:rsidRDefault="00AF24A7">
            <w:pPr>
              <w:pStyle w:val="BAS-Normal0"/>
              <w:jc w:val="center"/>
            </w:pPr>
            <w:r>
              <w:t>84121700</w:t>
            </w:r>
          </w:p>
        </w:tc>
        <w:tc>
          <w:tcPr>
            <w:tcW w:w="3362" w:type="dxa"/>
            <w:gridSpan w:val="2"/>
            <w:tcBorders>
              <w:top w:val="single" w:sz="4" w:space="0" w:color="auto"/>
            </w:tcBorders>
          </w:tcPr>
          <w:p w:rsidR="00974902" w:rsidRDefault="00AF24A7">
            <w:pPr>
              <w:pStyle w:val="BAS-Normal0"/>
              <w:jc w:val="center"/>
            </w:pPr>
            <w:r>
              <w:t>84121701</w:t>
            </w:r>
          </w:p>
        </w:tc>
        <w:tc>
          <w:tcPr>
            <w:tcW w:w="3357" w:type="dxa"/>
            <w:tcBorders>
              <w:top w:val="single" w:sz="4" w:space="0" w:color="auto"/>
            </w:tcBorders>
          </w:tcPr>
          <w:p w:rsidR="00974902" w:rsidRDefault="00AF24A7">
            <w:pPr>
              <w:pStyle w:val="BAS-Normal0"/>
              <w:jc w:val="center"/>
            </w:pPr>
            <w:r>
              <w:t>84121703</w:t>
            </w:r>
          </w:p>
        </w:tc>
      </w:tr>
      <w:tr w:rsidR="00974902" w:rsidTr="00495057">
        <w:trPr>
          <w:trHeight w:val="100"/>
        </w:trPr>
        <w:tc>
          <w:tcPr>
            <w:tcW w:w="3361" w:type="dxa"/>
          </w:tcPr>
          <w:p w:rsidR="00974902" w:rsidRDefault="00AF24A7">
            <w:pPr>
              <w:pStyle w:val="BAS-Normal0"/>
              <w:jc w:val="center"/>
            </w:pPr>
            <w:r>
              <w:t>84121704</w:t>
            </w:r>
          </w:p>
        </w:tc>
        <w:tc>
          <w:tcPr>
            <w:tcW w:w="3362" w:type="dxa"/>
            <w:gridSpan w:val="2"/>
          </w:tcPr>
          <w:p w:rsidR="00974902" w:rsidRDefault="00AF24A7">
            <w:pPr>
              <w:pStyle w:val="BAS-Normal0"/>
              <w:jc w:val="center"/>
            </w:pPr>
            <w:r>
              <w:t>93151603</w:t>
            </w:r>
          </w:p>
        </w:tc>
        <w:tc>
          <w:tcPr>
            <w:tcW w:w="3357" w:type="dxa"/>
          </w:tcPr>
          <w:p w:rsidR="00974902" w:rsidRDefault="00974902">
            <w:pPr>
              <w:pStyle w:val="BAS-Normal0"/>
              <w:jc w:val="center"/>
            </w:pPr>
          </w:p>
        </w:tc>
      </w:tr>
      <w:tr w:rsidR="0076704B" w:rsidTr="00495057">
        <w:trPr>
          <w:trHeight w:val="100"/>
        </w:trPr>
        <w:tc>
          <w:tcPr>
            <w:tcW w:w="3361" w:type="dxa"/>
          </w:tcPr>
          <w:p w:rsidR="0076704B" w:rsidRDefault="0076704B">
            <w:pPr>
              <w:pStyle w:val="BAS-Normal0"/>
              <w:jc w:val="center"/>
            </w:pPr>
          </w:p>
        </w:tc>
        <w:tc>
          <w:tcPr>
            <w:tcW w:w="3362" w:type="dxa"/>
            <w:gridSpan w:val="2"/>
          </w:tcPr>
          <w:p w:rsidR="0076704B" w:rsidRDefault="0076704B">
            <w:pPr>
              <w:pStyle w:val="BAS-Normal0"/>
              <w:jc w:val="center"/>
            </w:pPr>
          </w:p>
        </w:tc>
        <w:tc>
          <w:tcPr>
            <w:tcW w:w="3357" w:type="dxa"/>
          </w:tcPr>
          <w:p w:rsidR="0076704B" w:rsidRDefault="0076704B">
            <w:pPr>
              <w:pStyle w:val="BAS-Normal0"/>
              <w:jc w:val="center"/>
            </w:pPr>
          </w:p>
        </w:tc>
      </w:tr>
    </w:tbl>
    <w:p w:rsidR="00495057" w:rsidRDefault="00495057">
      <w:pPr>
        <w:pStyle w:val="BAS-Heading1Alt"/>
        <w:rPr>
          <w:i/>
        </w:rPr>
        <w:sectPr w:rsidR="00495057">
          <w:pgSz w:w="12240" w:h="15840"/>
          <w:pgMar w:top="1080" w:right="1080" w:bottom="1080" w:left="1080" w:header="720" w:footer="720" w:gutter="0"/>
          <w:pgNumType w:fmt="lowerRoman" w:start="1"/>
          <w:cols w:space="720"/>
          <w:docGrid w:linePitch="360"/>
        </w:sectPr>
      </w:pPr>
    </w:p>
    <w:tbl>
      <w:tblPr>
        <w:tblStyle w:val="TableGrid"/>
        <w:tblW w:w="101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5"/>
        <w:gridCol w:w="760"/>
        <w:gridCol w:w="392"/>
        <w:gridCol w:w="100"/>
        <w:gridCol w:w="123"/>
        <w:gridCol w:w="420"/>
        <w:gridCol w:w="393"/>
        <w:gridCol w:w="2185"/>
        <w:gridCol w:w="506"/>
        <w:gridCol w:w="1602"/>
        <w:gridCol w:w="2266"/>
      </w:tblGrid>
      <w:tr w:rsidR="00974902" w:rsidTr="00495057">
        <w:trPr>
          <w:trHeight w:val="432"/>
        </w:trPr>
        <w:tc>
          <w:tcPr>
            <w:tcW w:w="5728" w:type="dxa"/>
            <w:gridSpan w:val="9"/>
            <w:tcBorders>
              <w:bottom w:val="single" w:sz="12" w:space="0" w:color="auto"/>
            </w:tcBorders>
            <w:vAlign w:val="center"/>
          </w:tcPr>
          <w:p w:rsidR="00974902" w:rsidRPr="0076704B" w:rsidRDefault="00AF24A7">
            <w:pPr>
              <w:pStyle w:val="BAS-Heading1Alt"/>
              <w:rPr>
                <w:i/>
              </w:rPr>
            </w:pPr>
            <w:r w:rsidRPr="0076704B">
              <w:rPr>
                <w:i/>
              </w:rPr>
              <w:lastRenderedPageBreak/>
              <w:t>Request for Clarification form [OPTIONAL]</w:t>
            </w:r>
          </w:p>
        </w:tc>
        <w:tc>
          <w:tcPr>
            <w:tcW w:w="4374" w:type="dxa"/>
            <w:gridSpan w:val="3"/>
            <w:tcBorders>
              <w:bottom w:val="single" w:sz="12" w:space="0" w:color="auto"/>
            </w:tcBorders>
            <w:vAlign w:val="center"/>
          </w:tcPr>
          <w:p w:rsidR="00974902" w:rsidRDefault="00AF24A7" w:rsidP="0023582C">
            <w:pPr>
              <w:pStyle w:val="BAS-Heading1Alt"/>
              <w:jc w:val="right"/>
            </w:pPr>
            <w:r>
              <w:rPr>
                <w:color w:val="FF0000"/>
              </w:rPr>
              <w:t xml:space="preserve">DEADline:  </w:t>
            </w:r>
            <w:r w:rsidRPr="00AF24A7">
              <w:rPr>
                <w:color w:val="FF0000"/>
              </w:rPr>
              <w:t>May 1</w:t>
            </w:r>
            <w:r w:rsidR="003364A2">
              <w:rPr>
                <w:color w:val="FF0000"/>
              </w:rPr>
              <w:t>2</w:t>
            </w:r>
            <w:r w:rsidRPr="00AF24A7">
              <w:rPr>
                <w:color w:val="FF0000"/>
              </w:rPr>
              <w:t>, 2017, 12:00PM ET</w:t>
            </w:r>
          </w:p>
        </w:tc>
      </w:tr>
      <w:tr w:rsidR="00974902" w:rsidTr="00495057">
        <w:trPr>
          <w:trHeight w:val="432"/>
        </w:trPr>
        <w:tc>
          <w:tcPr>
            <w:tcW w:w="1355" w:type="dxa"/>
            <w:gridSpan w:val="2"/>
            <w:tcBorders>
              <w:top w:val="single" w:sz="12" w:space="0" w:color="auto"/>
            </w:tcBorders>
            <w:vAlign w:val="center"/>
          </w:tcPr>
          <w:p w:rsidR="00974902" w:rsidRDefault="00AF24A7">
            <w:pPr>
              <w:pStyle w:val="BAS-Normal0"/>
            </w:pPr>
            <w:r>
              <w:t>Solicitation:</w:t>
            </w:r>
          </w:p>
        </w:tc>
        <w:tc>
          <w:tcPr>
            <w:tcW w:w="8747" w:type="dxa"/>
            <w:gridSpan w:val="10"/>
            <w:tcBorders>
              <w:top w:val="single" w:sz="12" w:space="0" w:color="auto"/>
            </w:tcBorders>
            <w:vAlign w:val="center"/>
          </w:tcPr>
          <w:p w:rsidR="00974902" w:rsidRDefault="00AF24A7">
            <w:pPr>
              <w:pStyle w:val="BAS-Normal0"/>
              <w:rPr>
                <w:b/>
              </w:rPr>
            </w:pPr>
            <w:r>
              <w:rPr>
                <w:b/>
              </w:rPr>
              <w:t>ITN 17-01</w:t>
            </w:r>
          </w:p>
        </w:tc>
      </w:tr>
      <w:tr w:rsidR="00974902" w:rsidTr="00495057">
        <w:trPr>
          <w:trHeight w:val="432"/>
        </w:trPr>
        <w:tc>
          <w:tcPr>
            <w:tcW w:w="1355" w:type="dxa"/>
            <w:gridSpan w:val="2"/>
            <w:tcBorders>
              <w:bottom w:val="single" w:sz="4" w:space="0" w:color="auto"/>
            </w:tcBorders>
            <w:vAlign w:val="center"/>
          </w:tcPr>
          <w:p w:rsidR="00974902" w:rsidRDefault="00AF24A7">
            <w:pPr>
              <w:pStyle w:val="BAS-Normal0"/>
              <w:jc w:val="left"/>
            </w:pPr>
            <w:r>
              <w:t>Title</w:t>
            </w:r>
            <w:r>
              <w:rPr>
                <w:b/>
              </w:rPr>
              <w:t>:</w:t>
            </w:r>
          </w:p>
        </w:tc>
        <w:tc>
          <w:tcPr>
            <w:tcW w:w="8747" w:type="dxa"/>
            <w:gridSpan w:val="10"/>
            <w:tcBorders>
              <w:bottom w:val="single" w:sz="4" w:space="0" w:color="auto"/>
            </w:tcBorders>
            <w:vAlign w:val="center"/>
          </w:tcPr>
          <w:p w:rsidR="00974902" w:rsidRDefault="00AF24A7">
            <w:pPr>
              <w:pStyle w:val="BAS-Normal0"/>
              <w:jc w:val="left"/>
              <w:rPr>
                <w:b/>
              </w:rPr>
            </w:pPr>
            <w:r>
              <w:rPr>
                <w:b/>
              </w:rPr>
              <w:t>Index Replication for the Stanley G. Tate Florida Prepaid College Program and the Florida 529 Savings Plan</w:t>
            </w:r>
          </w:p>
        </w:tc>
      </w:tr>
      <w:tr w:rsidR="00974902" w:rsidTr="00495057">
        <w:trPr>
          <w:trHeight w:val="1584"/>
        </w:trPr>
        <w:tc>
          <w:tcPr>
            <w:tcW w:w="10102" w:type="dxa"/>
            <w:gridSpan w:val="12"/>
            <w:tcBorders>
              <w:top w:val="single" w:sz="4" w:space="0" w:color="auto"/>
              <w:bottom w:val="single" w:sz="4" w:space="0" w:color="auto"/>
            </w:tcBorders>
            <w:vAlign w:val="center"/>
          </w:tcPr>
          <w:p w:rsidR="00974902" w:rsidRDefault="00AF24A7">
            <w:pPr>
              <w:pStyle w:val="BAS-Normal0"/>
              <w:rPr>
                <w:i/>
              </w:rPr>
            </w:pPr>
            <w:r>
              <w:rPr>
                <w:i/>
              </w:rPr>
              <w:t>Each Respondent shall complete this form to address questions relating to</w:t>
            </w:r>
            <w:r>
              <w:t xml:space="preserve"> the conditions and/or specifications of</w:t>
            </w:r>
            <w:r>
              <w:rPr>
                <w:i/>
              </w:rPr>
              <w:t xml:space="preserve"> this solicitation. The completed form shall be submitted in accordance with the instructions provided in Section 5.1 of the solicitation document. Should you need additional space, please use an additional copy of this form. </w:t>
            </w:r>
          </w:p>
          <w:p w:rsidR="00974902" w:rsidRDefault="00974902">
            <w:pPr>
              <w:pStyle w:val="BAS-Normal0"/>
              <w:rPr>
                <w:i/>
              </w:rPr>
            </w:pPr>
          </w:p>
          <w:p w:rsidR="00974902" w:rsidRDefault="00AF24A7">
            <w:pPr>
              <w:pStyle w:val="BAS-Normal0"/>
              <w:rPr>
                <w:i/>
              </w:rPr>
            </w:pPr>
            <w:r>
              <w:rPr>
                <w:i/>
              </w:rPr>
              <w:t xml:space="preserve">Please return completed forms to: </w:t>
            </w:r>
            <w:hyperlink r:id="rId8" w:history="1">
              <w:r>
                <w:rPr>
                  <w:rStyle w:val="Hyperlink"/>
                  <w:i/>
                </w:rPr>
                <w:t>ITNinfo.Prepaid@MyFloridaPrepaid.com</w:t>
              </w:r>
            </w:hyperlink>
          </w:p>
        </w:tc>
      </w:tr>
      <w:tr w:rsidR="00974902" w:rsidTr="00495057">
        <w:trPr>
          <w:trHeight w:val="720"/>
        </w:trPr>
        <w:tc>
          <w:tcPr>
            <w:tcW w:w="2507" w:type="dxa"/>
            <w:gridSpan w:val="4"/>
            <w:vAlign w:val="bottom"/>
          </w:tcPr>
          <w:p w:rsidR="00974902" w:rsidRDefault="00AF24A7">
            <w:pPr>
              <w:pStyle w:val="BAS-Normal0"/>
              <w:rPr>
                <w:b/>
              </w:rPr>
            </w:pPr>
            <w:r>
              <w:t>Company Name:</w:t>
            </w:r>
          </w:p>
        </w:tc>
        <w:tc>
          <w:tcPr>
            <w:tcW w:w="7595" w:type="dxa"/>
            <w:gridSpan w:val="8"/>
            <w:tcBorders>
              <w:bottom w:val="single" w:sz="4" w:space="0" w:color="auto"/>
            </w:tcBorders>
            <w:vAlign w:val="bottom"/>
          </w:tcPr>
          <w:p w:rsidR="00974902" w:rsidRDefault="00974902">
            <w:pPr>
              <w:pStyle w:val="BAS-Normal0"/>
              <w:rPr>
                <w:b/>
              </w:rPr>
            </w:pPr>
          </w:p>
        </w:tc>
      </w:tr>
      <w:tr w:rsidR="00974902" w:rsidTr="00495057">
        <w:tc>
          <w:tcPr>
            <w:tcW w:w="1080" w:type="dxa"/>
            <w:tcBorders>
              <w:bottom w:val="single" w:sz="2" w:space="0" w:color="auto"/>
            </w:tcBorders>
            <w:vAlign w:val="bottom"/>
          </w:tcPr>
          <w:p w:rsidR="00974902" w:rsidRDefault="00974902">
            <w:pPr>
              <w:pStyle w:val="BAS-PlaceHolder"/>
            </w:pPr>
          </w:p>
        </w:tc>
        <w:tc>
          <w:tcPr>
            <w:tcW w:w="1527" w:type="dxa"/>
            <w:gridSpan w:val="4"/>
            <w:tcBorders>
              <w:bottom w:val="single" w:sz="2" w:space="0" w:color="auto"/>
            </w:tcBorders>
            <w:vAlign w:val="bottom"/>
          </w:tcPr>
          <w:p w:rsidR="00974902" w:rsidRDefault="00974902">
            <w:pPr>
              <w:pStyle w:val="BAS-PlaceHolder"/>
            </w:pPr>
          </w:p>
        </w:tc>
        <w:tc>
          <w:tcPr>
            <w:tcW w:w="936" w:type="dxa"/>
            <w:gridSpan w:val="3"/>
            <w:tcBorders>
              <w:top w:val="single" w:sz="4" w:space="0" w:color="auto"/>
              <w:bottom w:val="single" w:sz="2" w:space="0" w:color="auto"/>
            </w:tcBorders>
            <w:vAlign w:val="bottom"/>
          </w:tcPr>
          <w:p w:rsidR="00974902" w:rsidRDefault="00974902">
            <w:pPr>
              <w:pStyle w:val="BAS-PlaceHolder"/>
            </w:pPr>
          </w:p>
        </w:tc>
        <w:tc>
          <w:tcPr>
            <w:tcW w:w="6559" w:type="dxa"/>
            <w:gridSpan w:val="4"/>
            <w:tcBorders>
              <w:top w:val="single" w:sz="4" w:space="0" w:color="auto"/>
              <w:bottom w:val="single" w:sz="2" w:space="0" w:color="auto"/>
            </w:tcBorders>
            <w:vAlign w:val="bottom"/>
          </w:tcPr>
          <w:p w:rsidR="00974902" w:rsidRDefault="00974902">
            <w:pPr>
              <w:pStyle w:val="BAS-PlaceHolder"/>
            </w:pPr>
          </w:p>
        </w:tc>
      </w:tr>
      <w:tr w:rsidR="00974902" w:rsidTr="00495057">
        <w:tc>
          <w:tcPr>
            <w:tcW w:w="1080"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74902" w:rsidRDefault="00AF24A7">
            <w:pPr>
              <w:pStyle w:val="BAS-Normal0"/>
              <w:rPr>
                <w:b/>
                <w:color w:val="FFFFFF" w:themeColor="background1"/>
              </w:rPr>
            </w:pPr>
            <w:r>
              <w:rPr>
                <w:b/>
                <w:color w:val="FFFFFF" w:themeColor="background1"/>
              </w:rPr>
              <w:t>Question</w:t>
            </w:r>
          </w:p>
        </w:tc>
        <w:tc>
          <w:tcPr>
            <w:tcW w:w="1035" w:type="dxa"/>
            <w:gridSpan w:val="2"/>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74902" w:rsidRDefault="00AF24A7">
            <w:pPr>
              <w:pStyle w:val="BAS-Normal0"/>
              <w:jc w:val="center"/>
              <w:rPr>
                <w:b/>
                <w:color w:val="FFFFFF" w:themeColor="background1"/>
              </w:rPr>
            </w:pPr>
            <w:r>
              <w:rPr>
                <w:b/>
                <w:color w:val="FFFFFF" w:themeColor="background1"/>
              </w:rPr>
              <w:t>Section</w:t>
            </w:r>
          </w:p>
        </w:tc>
        <w:tc>
          <w:tcPr>
            <w:tcW w:w="1035"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74902" w:rsidRDefault="00AF24A7">
            <w:pPr>
              <w:pStyle w:val="BAS-Normal0"/>
              <w:jc w:val="center"/>
              <w:rPr>
                <w:b/>
                <w:color w:val="FFFFFF" w:themeColor="background1"/>
              </w:rPr>
            </w:pPr>
            <w:r>
              <w:rPr>
                <w:b/>
                <w:color w:val="FFFFFF" w:themeColor="background1"/>
              </w:rPr>
              <w:t>Page</w:t>
            </w:r>
          </w:p>
        </w:tc>
        <w:tc>
          <w:tcPr>
            <w:tcW w:w="6952" w:type="dxa"/>
            <w:gridSpan w:val="5"/>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74902" w:rsidRDefault="00AF24A7">
            <w:pPr>
              <w:pStyle w:val="BAS-Normal0"/>
              <w:rPr>
                <w:b/>
                <w:color w:val="FFFFFF" w:themeColor="background1"/>
              </w:rPr>
            </w:pPr>
            <w:r>
              <w:rPr>
                <w:b/>
                <w:color w:val="FFFFFF" w:themeColor="background1"/>
              </w:rPr>
              <w:t>Question/Comment</w:t>
            </w: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2.</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3.</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4.</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5.</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6.</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7.</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8.</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9.</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10.</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11.</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12.</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13.</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14.</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490"/>
        </w:trPr>
        <w:tc>
          <w:tcPr>
            <w:tcW w:w="1080" w:type="dxa"/>
            <w:tcBorders>
              <w:top w:val="single" w:sz="2" w:space="0" w:color="auto"/>
              <w:left w:val="single" w:sz="2" w:space="0" w:color="auto"/>
              <w:bottom w:val="single" w:sz="2" w:space="0" w:color="auto"/>
              <w:right w:val="single" w:sz="2" w:space="0" w:color="auto"/>
            </w:tcBorders>
          </w:tcPr>
          <w:p w:rsidR="00974902" w:rsidRDefault="00AF24A7">
            <w:pPr>
              <w:pStyle w:val="BAS-Normal0"/>
              <w:jc w:val="center"/>
              <w:rPr>
                <w:b/>
              </w:rPr>
            </w:pPr>
            <w:r>
              <w:rPr>
                <w:b/>
              </w:rPr>
              <w:t>15.</w:t>
            </w:r>
          </w:p>
        </w:tc>
        <w:tc>
          <w:tcPr>
            <w:tcW w:w="1035" w:type="dxa"/>
            <w:gridSpan w:val="2"/>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1035" w:type="dxa"/>
            <w:gridSpan w:val="4"/>
            <w:tcBorders>
              <w:top w:val="single" w:sz="2" w:space="0" w:color="auto"/>
              <w:left w:val="single" w:sz="2" w:space="0" w:color="auto"/>
              <w:bottom w:val="single" w:sz="2" w:space="0" w:color="auto"/>
              <w:right w:val="single" w:sz="2" w:space="0" w:color="auto"/>
            </w:tcBorders>
          </w:tcPr>
          <w:p w:rsidR="00974902" w:rsidRDefault="00974902">
            <w:pPr>
              <w:pStyle w:val="BAS-Normal0"/>
              <w:jc w:val="center"/>
              <w:rPr>
                <w:b/>
              </w:rPr>
            </w:pPr>
          </w:p>
        </w:tc>
        <w:tc>
          <w:tcPr>
            <w:tcW w:w="6952" w:type="dxa"/>
            <w:gridSpan w:val="5"/>
            <w:tcBorders>
              <w:top w:val="single" w:sz="2" w:space="0" w:color="auto"/>
              <w:left w:val="single" w:sz="2" w:space="0" w:color="auto"/>
              <w:bottom w:val="single" w:sz="2" w:space="0" w:color="auto"/>
              <w:right w:val="single" w:sz="2" w:space="0" w:color="auto"/>
            </w:tcBorders>
          </w:tcPr>
          <w:p w:rsidR="00974902" w:rsidRDefault="00974902">
            <w:pPr>
              <w:pStyle w:val="BAS-Normal0"/>
              <w:jc w:val="left"/>
              <w:rPr>
                <w:b/>
              </w:rPr>
            </w:pPr>
          </w:p>
          <w:p w:rsidR="00974902" w:rsidRDefault="00974902">
            <w:pPr>
              <w:pStyle w:val="BAS-Normal0"/>
              <w:jc w:val="left"/>
              <w:rPr>
                <w:b/>
              </w:rPr>
            </w:pPr>
          </w:p>
        </w:tc>
      </w:tr>
      <w:tr w:rsidR="00974902" w:rsidTr="00495057">
        <w:trPr>
          <w:trHeight w:val="144"/>
        </w:trPr>
        <w:tc>
          <w:tcPr>
            <w:tcW w:w="10102" w:type="dxa"/>
            <w:gridSpan w:val="12"/>
            <w:tcBorders>
              <w:top w:val="single" w:sz="2" w:space="0" w:color="auto"/>
              <w:bottom w:val="single" w:sz="12" w:space="0" w:color="auto"/>
            </w:tcBorders>
            <w:vAlign w:val="center"/>
          </w:tcPr>
          <w:p w:rsidR="00974902" w:rsidRDefault="00974902">
            <w:pPr>
              <w:pStyle w:val="BAS-PlaceHolder"/>
            </w:pPr>
          </w:p>
        </w:tc>
      </w:tr>
      <w:tr w:rsidR="00974902" w:rsidTr="00495057">
        <w:trPr>
          <w:trHeight w:val="720"/>
        </w:trPr>
        <w:tc>
          <w:tcPr>
            <w:tcW w:w="2730" w:type="dxa"/>
            <w:gridSpan w:val="6"/>
            <w:vAlign w:val="bottom"/>
          </w:tcPr>
          <w:p w:rsidR="00974902" w:rsidRDefault="00AF24A7">
            <w:pPr>
              <w:pStyle w:val="BAS-Normal0"/>
            </w:pPr>
            <w:r>
              <w:t>Authorized Signature:</w:t>
            </w:r>
          </w:p>
        </w:tc>
        <w:tc>
          <w:tcPr>
            <w:tcW w:w="3504" w:type="dxa"/>
            <w:gridSpan w:val="4"/>
            <w:tcBorders>
              <w:bottom w:val="single" w:sz="4" w:space="0" w:color="auto"/>
            </w:tcBorders>
            <w:vAlign w:val="bottom"/>
          </w:tcPr>
          <w:p w:rsidR="00974902" w:rsidRDefault="00974902">
            <w:pPr>
              <w:pStyle w:val="BAS-Normal0"/>
            </w:pPr>
          </w:p>
        </w:tc>
        <w:tc>
          <w:tcPr>
            <w:tcW w:w="1602" w:type="dxa"/>
            <w:vAlign w:val="bottom"/>
          </w:tcPr>
          <w:p w:rsidR="00974902" w:rsidRDefault="00AF24A7">
            <w:pPr>
              <w:pStyle w:val="BAS-Normal0"/>
            </w:pPr>
            <w:r>
              <w:t>Date:</w:t>
            </w:r>
          </w:p>
        </w:tc>
        <w:tc>
          <w:tcPr>
            <w:tcW w:w="2266" w:type="dxa"/>
            <w:tcBorders>
              <w:bottom w:val="single" w:sz="4" w:space="0" w:color="auto"/>
            </w:tcBorders>
            <w:vAlign w:val="bottom"/>
          </w:tcPr>
          <w:p w:rsidR="00974902" w:rsidRDefault="00974902">
            <w:pPr>
              <w:pStyle w:val="BAS-Normal0"/>
            </w:pPr>
          </w:p>
        </w:tc>
      </w:tr>
      <w:tr w:rsidR="00974902" w:rsidTr="00495057">
        <w:trPr>
          <w:trHeight w:val="720"/>
        </w:trPr>
        <w:tc>
          <w:tcPr>
            <w:tcW w:w="2730" w:type="dxa"/>
            <w:gridSpan w:val="6"/>
            <w:vAlign w:val="bottom"/>
          </w:tcPr>
          <w:p w:rsidR="00974902" w:rsidRDefault="00AF24A7">
            <w:pPr>
              <w:pStyle w:val="BAS-Normal0"/>
            </w:pPr>
            <w:r>
              <w:t>Printed Name &amp; Title:</w:t>
            </w:r>
          </w:p>
        </w:tc>
        <w:tc>
          <w:tcPr>
            <w:tcW w:w="7372" w:type="dxa"/>
            <w:gridSpan w:val="6"/>
            <w:tcBorders>
              <w:bottom w:val="single" w:sz="4" w:space="0" w:color="auto"/>
            </w:tcBorders>
            <w:vAlign w:val="bottom"/>
          </w:tcPr>
          <w:p w:rsidR="00974902" w:rsidRDefault="00974902">
            <w:pPr>
              <w:pStyle w:val="BAS-Normal0"/>
            </w:pPr>
          </w:p>
        </w:tc>
      </w:tr>
    </w:tbl>
    <w:p w:rsidR="00974902" w:rsidRDefault="00AF24A7">
      <w:pPr>
        <w:pStyle w:val="BAS-Normal0"/>
        <w:rPr>
          <w:b/>
        </w:rPr>
      </w:pPr>
      <w:r>
        <w:rPr>
          <w:b/>
        </w:rPr>
        <w:lastRenderedPageBreak/>
        <w:t xml:space="preserve">The following form, and the content requested within, is </w:t>
      </w:r>
      <w:r>
        <w:rPr>
          <w:b/>
          <w:u w:val="single"/>
        </w:rPr>
        <w:t>REQUIRED</w:t>
      </w:r>
      <w:r>
        <w:rPr>
          <w:b/>
        </w:rPr>
        <w:t xml:space="preserve">. </w:t>
      </w:r>
    </w:p>
    <w:p w:rsidR="00974902" w:rsidRDefault="00974902">
      <w:pPr>
        <w:pStyle w:val="BAS-Normal0"/>
      </w:pPr>
    </w:p>
    <w:p w:rsidR="00974902" w:rsidRDefault="00AF24A7">
      <w:pPr>
        <w:pStyle w:val="BAS-Normal0"/>
      </w:pPr>
      <w:r>
        <w:t xml:space="preserve">Respondents shall deliver one (1) complete hard copy </w:t>
      </w:r>
      <w:r>
        <w:rPr>
          <w:u w:val="single"/>
        </w:rPr>
        <w:t>AND</w:t>
      </w:r>
      <w:r>
        <w:t xml:space="preserve"> four (4) complete electronic copies of their entire Response on four (4) USB hard drives – one copy per drive. All documents and materials provided in response to this solicitation must be included on the drive. Respondents shall not refer to web-based materials or locations. Notwithstanding, web-links that may be provided within a statutory prospectus which a Respondent provides on the drive and/or in hard copy will not be considered a violation of this requirement.</w:t>
      </w:r>
    </w:p>
    <w:p w:rsidR="00974902" w:rsidRDefault="00974902">
      <w:pPr>
        <w:pStyle w:val="BAS-Normal0"/>
      </w:pPr>
    </w:p>
    <w:p w:rsidR="00974902" w:rsidRDefault="00AF24A7">
      <w:pPr>
        <w:pStyle w:val="BAS-Normal0"/>
      </w:pPr>
      <w:r>
        <w:t xml:space="preserve">All Responses </w:t>
      </w:r>
      <w:r>
        <w:rPr>
          <w:b/>
        </w:rPr>
        <w:t>must be</w:t>
      </w:r>
      <w:r>
        <w:t xml:space="preserve"> executed and submitted in a sealed package. The face of the package </w:t>
      </w:r>
      <w:r>
        <w:rPr>
          <w:b/>
        </w:rPr>
        <w:t>must contain</w:t>
      </w:r>
      <w:r>
        <w:t xml:space="preserve"> the number of the ITN to which the Response applies and the date and time of the Response opening (see Section 4.0).</w:t>
      </w:r>
    </w:p>
    <w:p w:rsidR="00974902" w:rsidRDefault="00974902">
      <w:pPr>
        <w:pStyle w:val="BAS-Normal0"/>
      </w:pPr>
    </w:p>
    <w:p w:rsidR="00974902" w:rsidRDefault="00AF24A7">
      <w:pPr>
        <w:pStyle w:val="BAS-Normal0"/>
      </w:pPr>
      <w:r>
        <w:t>All Responses are subject to the conditions specified in this ITN; Responses which do not comply with these conditions are subject to rejection.</w:t>
      </w:r>
    </w:p>
    <w:p w:rsidR="0076704B" w:rsidRDefault="0076704B">
      <w:r>
        <w:rPr>
          <w:b/>
          <w:caps/>
        </w:rPr>
        <w:br w:type="page"/>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155"/>
        <w:gridCol w:w="1980"/>
        <w:gridCol w:w="21"/>
        <w:gridCol w:w="609"/>
        <w:gridCol w:w="270"/>
        <w:gridCol w:w="2250"/>
        <w:gridCol w:w="180"/>
        <w:gridCol w:w="270"/>
        <w:gridCol w:w="1350"/>
        <w:gridCol w:w="180"/>
        <w:gridCol w:w="540"/>
        <w:gridCol w:w="236"/>
        <w:gridCol w:w="1654"/>
      </w:tblGrid>
      <w:tr w:rsidR="00974902">
        <w:trPr>
          <w:trHeight w:val="360"/>
        </w:trPr>
        <w:tc>
          <w:tcPr>
            <w:tcW w:w="5760" w:type="dxa"/>
            <w:gridSpan w:val="7"/>
            <w:vAlign w:val="center"/>
          </w:tcPr>
          <w:p w:rsidR="00974902" w:rsidRDefault="00AF24A7">
            <w:pPr>
              <w:pStyle w:val="BAS-Heading1Alt"/>
              <w:jc w:val="left"/>
            </w:pPr>
            <w:r>
              <w:lastRenderedPageBreak/>
              <w:t>invitation to negotiate Response [required]</w:t>
            </w:r>
          </w:p>
        </w:tc>
        <w:tc>
          <w:tcPr>
            <w:tcW w:w="4410" w:type="dxa"/>
            <w:gridSpan w:val="7"/>
          </w:tcPr>
          <w:p w:rsidR="00974902" w:rsidRDefault="00AF24A7">
            <w:pPr>
              <w:pStyle w:val="BAS-Heading1Alt"/>
              <w:jc w:val="right"/>
            </w:pPr>
            <w:r>
              <w:rPr>
                <w:color w:val="FF0000"/>
              </w:rPr>
              <w:t xml:space="preserve">DEADline: </w:t>
            </w:r>
            <w:r w:rsidR="003364A2">
              <w:rPr>
                <w:color w:val="FF0000"/>
              </w:rPr>
              <w:t>JUNE 1</w:t>
            </w:r>
            <w:r w:rsidRPr="00AF24A7">
              <w:rPr>
                <w:color w:val="FF0000"/>
              </w:rPr>
              <w:t>, 2017, 12:00PM ET</w:t>
            </w:r>
          </w:p>
        </w:tc>
      </w:tr>
      <w:tr w:rsidR="00974902">
        <w:trPr>
          <w:trHeight w:val="360"/>
        </w:trPr>
        <w:tc>
          <w:tcPr>
            <w:tcW w:w="2631" w:type="dxa"/>
            <w:gridSpan w:val="4"/>
            <w:vAlign w:val="center"/>
          </w:tcPr>
          <w:p w:rsidR="00974902" w:rsidRDefault="00AF24A7">
            <w:pPr>
              <w:pStyle w:val="BAS-Normal0"/>
            </w:pPr>
            <w:r>
              <w:t>Solicitation:</w:t>
            </w:r>
          </w:p>
        </w:tc>
        <w:tc>
          <w:tcPr>
            <w:tcW w:w="7539" w:type="dxa"/>
            <w:gridSpan w:val="10"/>
            <w:vAlign w:val="center"/>
          </w:tcPr>
          <w:p w:rsidR="00974902" w:rsidRDefault="00AF24A7">
            <w:pPr>
              <w:pStyle w:val="BAS-Normal0"/>
              <w:rPr>
                <w:b/>
              </w:rPr>
            </w:pPr>
            <w:r>
              <w:rPr>
                <w:b/>
              </w:rPr>
              <w:t>ITN 17-01</w:t>
            </w:r>
          </w:p>
        </w:tc>
      </w:tr>
      <w:tr w:rsidR="00974902">
        <w:trPr>
          <w:trHeight w:val="360"/>
        </w:trPr>
        <w:tc>
          <w:tcPr>
            <w:tcW w:w="2631" w:type="dxa"/>
            <w:gridSpan w:val="4"/>
            <w:tcBorders>
              <w:bottom w:val="single" w:sz="4" w:space="0" w:color="auto"/>
            </w:tcBorders>
            <w:vAlign w:val="center"/>
          </w:tcPr>
          <w:p w:rsidR="00974902" w:rsidRDefault="00AF24A7">
            <w:pPr>
              <w:pStyle w:val="BAS-Normal0"/>
              <w:jc w:val="left"/>
            </w:pPr>
            <w:r>
              <w:t>Title</w:t>
            </w:r>
            <w:r>
              <w:rPr>
                <w:b/>
              </w:rPr>
              <w:t>:</w:t>
            </w:r>
          </w:p>
        </w:tc>
        <w:tc>
          <w:tcPr>
            <w:tcW w:w="7539" w:type="dxa"/>
            <w:gridSpan w:val="10"/>
            <w:tcBorders>
              <w:bottom w:val="single" w:sz="4" w:space="0" w:color="auto"/>
            </w:tcBorders>
            <w:vAlign w:val="center"/>
          </w:tcPr>
          <w:p w:rsidR="00974902" w:rsidRDefault="00AF24A7">
            <w:pPr>
              <w:pStyle w:val="BAS-Normal0"/>
              <w:jc w:val="left"/>
              <w:rPr>
                <w:b/>
              </w:rPr>
            </w:pPr>
            <w:r>
              <w:rPr>
                <w:b/>
              </w:rPr>
              <w:t>Index Replication for the Stanley G. Tate Florida Prepaid College Program and the Florida 529 Savings Plan</w:t>
            </w:r>
          </w:p>
        </w:tc>
      </w:tr>
      <w:tr w:rsidR="00974902">
        <w:trPr>
          <w:trHeight w:val="1440"/>
        </w:trPr>
        <w:tc>
          <w:tcPr>
            <w:tcW w:w="10170" w:type="dxa"/>
            <w:gridSpan w:val="14"/>
            <w:tcBorders>
              <w:top w:val="single" w:sz="4" w:space="0" w:color="auto"/>
            </w:tcBorders>
            <w:vAlign w:val="center"/>
          </w:tcPr>
          <w:p w:rsidR="00974902" w:rsidRDefault="00AF24A7">
            <w:pPr>
              <w:pStyle w:val="BAS-Normal0"/>
              <w:rPr>
                <w:b/>
                <w:i/>
              </w:rPr>
            </w:pPr>
            <w:r>
              <w:rPr>
                <w:b/>
                <w:i/>
              </w:rPr>
              <w:t>This sheet and the accompanying documents constitute an offer from the Respondent. By completing and signing this form, on behalf of the Respondent, I represent that I will be the primary contact for negotiation and agree to abide by all conditions of this negotiation. I certify that I am authorized to sign this Response and that the offer is in compliance with all requirements of the Invitation to Negotiate, including but not limited to, the Mandatory Requirements.</w:t>
            </w:r>
          </w:p>
        </w:tc>
      </w:tr>
      <w:tr w:rsidR="00974902">
        <w:trPr>
          <w:trHeight w:val="475"/>
        </w:trPr>
        <w:tc>
          <w:tcPr>
            <w:tcW w:w="2610" w:type="dxa"/>
            <w:gridSpan w:val="3"/>
            <w:tcBorders>
              <w:top w:val="single" w:sz="4" w:space="0" w:color="auto"/>
            </w:tcBorders>
            <w:vAlign w:val="bottom"/>
          </w:tcPr>
          <w:p w:rsidR="00974902" w:rsidRDefault="00AF24A7">
            <w:pPr>
              <w:pStyle w:val="BAS-Normal0"/>
            </w:pPr>
            <w:r>
              <w:t>Respondent/Firm Name:</w:t>
            </w: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tcBorders>
              <w:top w:val="single" w:sz="4" w:space="0" w:color="auto"/>
              <w:bottom w:val="single" w:sz="4" w:space="0" w:color="auto"/>
            </w:tcBorders>
            <w:vAlign w:val="bottom"/>
          </w:tcPr>
          <w:p w:rsidR="00974902" w:rsidRDefault="00974902">
            <w:pPr>
              <w:pStyle w:val="BAS-Normal0"/>
            </w:pPr>
          </w:p>
        </w:tc>
        <w:tc>
          <w:tcPr>
            <w:tcW w:w="2610" w:type="dxa"/>
            <w:gridSpan w:val="4"/>
            <w:tcBorders>
              <w:top w:val="single" w:sz="4" w:space="0" w:color="auto"/>
              <w:bottom w:val="single" w:sz="4" w:space="0" w:color="auto"/>
            </w:tcBorders>
            <w:vAlign w:val="bottom"/>
          </w:tcPr>
          <w:p w:rsidR="00974902" w:rsidRDefault="00974902">
            <w:pPr>
              <w:pStyle w:val="BAS-Normal0"/>
            </w:pPr>
          </w:p>
        </w:tc>
      </w:tr>
      <w:tr w:rsidR="00974902">
        <w:trPr>
          <w:trHeight w:val="475"/>
        </w:trPr>
        <w:tc>
          <w:tcPr>
            <w:tcW w:w="2610" w:type="dxa"/>
            <w:gridSpan w:val="3"/>
            <w:vAlign w:val="bottom"/>
          </w:tcPr>
          <w:p w:rsidR="00974902" w:rsidRDefault="00AF24A7">
            <w:pPr>
              <w:pStyle w:val="BAS-Normal0"/>
            </w:pPr>
            <w:r>
              <w:t>Contact Person:</w:t>
            </w: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tcBorders>
              <w:top w:val="single" w:sz="4" w:space="0" w:color="auto"/>
              <w:bottom w:val="single" w:sz="4" w:space="0" w:color="auto"/>
            </w:tcBorders>
            <w:vAlign w:val="bottom"/>
          </w:tcPr>
          <w:p w:rsidR="00974902" w:rsidRDefault="00974902">
            <w:pPr>
              <w:pStyle w:val="BAS-Normal0"/>
            </w:pPr>
          </w:p>
        </w:tc>
        <w:tc>
          <w:tcPr>
            <w:tcW w:w="2610" w:type="dxa"/>
            <w:gridSpan w:val="4"/>
            <w:tcBorders>
              <w:top w:val="single" w:sz="4" w:space="0" w:color="auto"/>
              <w:bottom w:val="single" w:sz="4" w:space="0" w:color="auto"/>
            </w:tcBorders>
            <w:vAlign w:val="bottom"/>
          </w:tcPr>
          <w:p w:rsidR="00974902" w:rsidRDefault="00974902">
            <w:pPr>
              <w:pStyle w:val="BAS-Normal0"/>
            </w:pPr>
          </w:p>
        </w:tc>
      </w:tr>
      <w:tr w:rsidR="00974902">
        <w:trPr>
          <w:trHeight w:val="475"/>
        </w:trPr>
        <w:tc>
          <w:tcPr>
            <w:tcW w:w="2610" w:type="dxa"/>
            <w:gridSpan w:val="3"/>
            <w:vAlign w:val="bottom"/>
          </w:tcPr>
          <w:p w:rsidR="00974902" w:rsidRDefault="00AF24A7">
            <w:pPr>
              <w:pStyle w:val="BAS-Normal0"/>
            </w:pPr>
            <w:r>
              <w:t>Address:</w:t>
            </w: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tcBorders>
              <w:top w:val="single" w:sz="4" w:space="0" w:color="auto"/>
            </w:tcBorders>
            <w:vAlign w:val="bottom"/>
          </w:tcPr>
          <w:p w:rsidR="00974902" w:rsidRDefault="00AF24A7">
            <w:pPr>
              <w:pStyle w:val="BAS-Normal0"/>
              <w:ind w:left="-108"/>
              <w:jc w:val="right"/>
            </w:pPr>
            <w:r>
              <w:t>City, State, Zip:</w:t>
            </w:r>
          </w:p>
        </w:tc>
        <w:tc>
          <w:tcPr>
            <w:tcW w:w="2610" w:type="dxa"/>
            <w:gridSpan w:val="4"/>
            <w:tcBorders>
              <w:top w:val="single" w:sz="4" w:space="0" w:color="auto"/>
              <w:bottom w:val="single" w:sz="4" w:space="0" w:color="auto"/>
            </w:tcBorders>
            <w:vAlign w:val="bottom"/>
          </w:tcPr>
          <w:p w:rsidR="00974902" w:rsidRDefault="00974902">
            <w:pPr>
              <w:pStyle w:val="BAS-Normal0"/>
            </w:pPr>
          </w:p>
        </w:tc>
      </w:tr>
      <w:tr w:rsidR="00974902">
        <w:trPr>
          <w:trHeight w:val="475"/>
        </w:trPr>
        <w:tc>
          <w:tcPr>
            <w:tcW w:w="2610" w:type="dxa"/>
            <w:gridSpan w:val="3"/>
            <w:vAlign w:val="bottom"/>
          </w:tcPr>
          <w:p w:rsidR="00974902" w:rsidRDefault="00974902">
            <w:pPr>
              <w:pStyle w:val="BAS-Normal0"/>
            </w:pP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vAlign w:val="bottom"/>
          </w:tcPr>
          <w:p w:rsidR="00974902" w:rsidRDefault="00974902">
            <w:pPr>
              <w:pStyle w:val="BAS-Normal0"/>
            </w:pPr>
          </w:p>
        </w:tc>
        <w:tc>
          <w:tcPr>
            <w:tcW w:w="2610" w:type="dxa"/>
            <w:gridSpan w:val="4"/>
            <w:tcBorders>
              <w:top w:val="single" w:sz="4" w:space="0" w:color="auto"/>
              <w:bottom w:val="single" w:sz="4" w:space="0" w:color="auto"/>
            </w:tcBorders>
            <w:vAlign w:val="bottom"/>
          </w:tcPr>
          <w:p w:rsidR="00974902" w:rsidRDefault="00974902">
            <w:pPr>
              <w:pStyle w:val="BAS-Normal0"/>
            </w:pPr>
          </w:p>
        </w:tc>
      </w:tr>
      <w:tr w:rsidR="00974902">
        <w:trPr>
          <w:trHeight w:val="475"/>
        </w:trPr>
        <w:tc>
          <w:tcPr>
            <w:tcW w:w="2610" w:type="dxa"/>
            <w:gridSpan w:val="3"/>
            <w:vAlign w:val="bottom"/>
          </w:tcPr>
          <w:p w:rsidR="00974902" w:rsidRDefault="00AF24A7">
            <w:pPr>
              <w:pStyle w:val="BAS-Normal0"/>
            </w:pPr>
            <w:r>
              <w:t>Telephone:</w:t>
            </w: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vAlign w:val="bottom"/>
          </w:tcPr>
          <w:p w:rsidR="00974902" w:rsidRDefault="00974902">
            <w:pPr>
              <w:pStyle w:val="BAS-Normal0"/>
            </w:pPr>
          </w:p>
        </w:tc>
        <w:tc>
          <w:tcPr>
            <w:tcW w:w="2610" w:type="dxa"/>
            <w:gridSpan w:val="4"/>
            <w:tcBorders>
              <w:top w:val="single" w:sz="4" w:space="0" w:color="auto"/>
            </w:tcBorders>
            <w:vAlign w:val="bottom"/>
          </w:tcPr>
          <w:p w:rsidR="00974902" w:rsidRDefault="00974902">
            <w:pPr>
              <w:pStyle w:val="BAS-Normal0"/>
            </w:pPr>
          </w:p>
        </w:tc>
      </w:tr>
      <w:tr w:rsidR="00974902">
        <w:trPr>
          <w:trHeight w:val="475"/>
        </w:trPr>
        <w:tc>
          <w:tcPr>
            <w:tcW w:w="2610" w:type="dxa"/>
            <w:gridSpan w:val="3"/>
            <w:vAlign w:val="bottom"/>
          </w:tcPr>
          <w:p w:rsidR="00974902" w:rsidRDefault="00AF24A7">
            <w:pPr>
              <w:pStyle w:val="BAS-Normal0"/>
            </w:pPr>
            <w:r>
              <w:t>E-mail Address:</w:t>
            </w:r>
          </w:p>
        </w:tc>
        <w:tc>
          <w:tcPr>
            <w:tcW w:w="3330" w:type="dxa"/>
            <w:gridSpan w:val="5"/>
            <w:tcBorders>
              <w:top w:val="single" w:sz="4" w:space="0" w:color="auto"/>
              <w:bottom w:val="single" w:sz="4" w:space="0" w:color="auto"/>
            </w:tcBorders>
            <w:vAlign w:val="bottom"/>
          </w:tcPr>
          <w:p w:rsidR="00974902" w:rsidRDefault="00974902">
            <w:pPr>
              <w:pStyle w:val="BAS-Normal0"/>
            </w:pPr>
          </w:p>
        </w:tc>
        <w:tc>
          <w:tcPr>
            <w:tcW w:w="1620" w:type="dxa"/>
            <w:gridSpan w:val="2"/>
            <w:vAlign w:val="bottom"/>
          </w:tcPr>
          <w:p w:rsidR="00974902" w:rsidRDefault="00974902">
            <w:pPr>
              <w:pStyle w:val="BAS-Normal0"/>
            </w:pPr>
          </w:p>
        </w:tc>
        <w:tc>
          <w:tcPr>
            <w:tcW w:w="2610" w:type="dxa"/>
            <w:gridSpan w:val="4"/>
            <w:vAlign w:val="bottom"/>
          </w:tcPr>
          <w:p w:rsidR="00974902" w:rsidRDefault="00974902">
            <w:pPr>
              <w:pStyle w:val="BAS-Normal0"/>
            </w:pPr>
          </w:p>
        </w:tc>
      </w:tr>
      <w:tr w:rsidR="00974902">
        <w:trPr>
          <w:trHeight w:val="432"/>
        </w:trPr>
        <w:tc>
          <w:tcPr>
            <w:tcW w:w="8516" w:type="dxa"/>
            <w:gridSpan w:val="13"/>
            <w:tcBorders>
              <w:bottom w:val="double" w:sz="4" w:space="0" w:color="auto"/>
            </w:tcBorders>
            <w:vAlign w:val="center"/>
          </w:tcPr>
          <w:p w:rsidR="00974902" w:rsidRDefault="00AF24A7">
            <w:pPr>
              <w:pStyle w:val="BAS-Heading1Alt"/>
              <w:jc w:val="left"/>
            </w:pPr>
            <w:r>
              <w:t>mandatory Requirement Affirmation</w:t>
            </w:r>
          </w:p>
        </w:tc>
        <w:tc>
          <w:tcPr>
            <w:tcW w:w="1654" w:type="dxa"/>
            <w:tcBorders>
              <w:bottom w:val="double" w:sz="4" w:space="0" w:color="auto"/>
            </w:tcBorders>
            <w:vAlign w:val="center"/>
          </w:tcPr>
          <w:p w:rsidR="00974902" w:rsidRDefault="00AF24A7">
            <w:pPr>
              <w:pStyle w:val="BAS-Heading1Alt"/>
              <w:jc w:val="center"/>
            </w:pPr>
            <w:r>
              <w:t>(Initial)</w:t>
            </w:r>
          </w:p>
        </w:tc>
      </w:tr>
      <w:tr w:rsidR="00974902">
        <w:trPr>
          <w:trHeight w:val="475"/>
        </w:trPr>
        <w:tc>
          <w:tcPr>
            <w:tcW w:w="475" w:type="dxa"/>
            <w:tcBorders>
              <w:top w:val="double" w:sz="4" w:space="0" w:color="auto"/>
            </w:tcBorders>
          </w:tcPr>
          <w:p w:rsidR="00974902" w:rsidRDefault="00AF24A7">
            <w:pPr>
              <w:pStyle w:val="BAS-Normal0"/>
              <w:spacing w:before="120"/>
            </w:pPr>
            <w:r>
              <w:t>(1)</w:t>
            </w:r>
          </w:p>
        </w:tc>
        <w:tc>
          <w:tcPr>
            <w:tcW w:w="7805" w:type="dxa"/>
            <w:gridSpan w:val="11"/>
            <w:tcBorders>
              <w:top w:val="double" w:sz="4" w:space="0" w:color="auto"/>
            </w:tcBorders>
          </w:tcPr>
          <w:p w:rsidR="00974902" w:rsidRDefault="00AF24A7">
            <w:pPr>
              <w:pStyle w:val="BAS-Normal0"/>
              <w:spacing w:before="120"/>
            </w:pPr>
            <w:r>
              <w:t>I affirm that, as of December 31, 2016, the Respondent has greater than $500 billion in discretionary assets under management at the firm level.</w:t>
            </w:r>
          </w:p>
        </w:tc>
        <w:tc>
          <w:tcPr>
            <w:tcW w:w="236" w:type="dxa"/>
            <w:tcBorders>
              <w:top w:val="double" w:sz="4" w:space="0" w:color="auto"/>
            </w:tcBorders>
          </w:tcPr>
          <w:p w:rsidR="00974902" w:rsidRDefault="00974902">
            <w:pPr>
              <w:pStyle w:val="BAS-Normal0"/>
              <w:spacing w:before="120"/>
            </w:pPr>
          </w:p>
        </w:tc>
        <w:tc>
          <w:tcPr>
            <w:tcW w:w="1654" w:type="dxa"/>
            <w:tcBorders>
              <w:top w:val="double" w:sz="4" w:space="0" w:color="auto"/>
              <w:bottom w:val="single" w:sz="4" w:space="0" w:color="auto"/>
            </w:tcBorders>
          </w:tcPr>
          <w:p w:rsidR="00974902" w:rsidRDefault="00974902">
            <w:pPr>
              <w:pStyle w:val="BAS-Normal0"/>
              <w:spacing w:before="120"/>
            </w:pPr>
          </w:p>
        </w:tc>
      </w:tr>
      <w:tr w:rsidR="00974902">
        <w:trPr>
          <w:gridAfter w:val="8"/>
          <w:wAfter w:w="6660" w:type="dxa"/>
          <w:trHeight w:val="288"/>
        </w:trPr>
        <w:tc>
          <w:tcPr>
            <w:tcW w:w="630" w:type="dxa"/>
            <w:gridSpan w:val="2"/>
            <w:vAlign w:val="bottom"/>
          </w:tcPr>
          <w:p w:rsidR="00974902" w:rsidRDefault="00974902">
            <w:pPr>
              <w:pStyle w:val="BAS-PlaceHolder"/>
              <w:jc w:val="left"/>
            </w:pPr>
          </w:p>
        </w:tc>
        <w:tc>
          <w:tcPr>
            <w:tcW w:w="2610" w:type="dxa"/>
            <w:gridSpan w:val="3"/>
            <w:vAlign w:val="bottom"/>
          </w:tcPr>
          <w:p w:rsidR="00974902" w:rsidRDefault="00974902">
            <w:pPr>
              <w:pStyle w:val="BAS-PlaceHolder"/>
              <w:jc w:val="left"/>
            </w:pPr>
          </w:p>
        </w:tc>
        <w:tc>
          <w:tcPr>
            <w:tcW w:w="270" w:type="dxa"/>
            <w:vAlign w:val="bottom"/>
          </w:tcPr>
          <w:p w:rsidR="00974902" w:rsidRDefault="00974902">
            <w:pPr>
              <w:pStyle w:val="BAS-PlaceHolder"/>
              <w:jc w:val="left"/>
            </w:pPr>
          </w:p>
        </w:tc>
      </w:tr>
      <w:tr w:rsidR="00974902">
        <w:trPr>
          <w:trHeight w:val="288"/>
        </w:trPr>
        <w:tc>
          <w:tcPr>
            <w:tcW w:w="630" w:type="dxa"/>
            <w:gridSpan w:val="2"/>
          </w:tcPr>
          <w:p w:rsidR="00974902" w:rsidRDefault="00AF24A7">
            <w:pPr>
              <w:pStyle w:val="BAS-Normal0"/>
              <w:jc w:val="left"/>
            </w:pPr>
            <w:r>
              <w:t>( 2 )</w:t>
            </w:r>
          </w:p>
        </w:tc>
        <w:tc>
          <w:tcPr>
            <w:tcW w:w="9540" w:type="dxa"/>
            <w:gridSpan w:val="12"/>
            <w:vAlign w:val="center"/>
          </w:tcPr>
          <w:p w:rsidR="00974902" w:rsidRDefault="00AF24A7">
            <w:pPr>
              <w:pStyle w:val="BAS-Normal0"/>
              <w:spacing w:before="60"/>
              <w:jc w:val="left"/>
            </w:pPr>
            <w:r>
              <w:t xml:space="preserve">Statement of Financial Condition – Respondent must attach </w:t>
            </w:r>
            <w:r w:rsidR="00565D2A">
              <w:t xml:space="preserve">their </w:t>
            </w:r>
            <w:r>
              <w:t xml:space="preserve">latest audited financial statements that is either completed and signed by a Registered Public Account Firm or published in </w:t>
            </w:r>
            <w:r w:rsidR="00565D2A">
              <w:t xml:space="preserve">the </w:t>
            </w:r>
            <w:r>
              <w:t xml:space="preserve">Respondent’s Annual Report. See section 5.4.3 </w:t>
            </w:r>
          </w:p>
          <w:p w:rsidR="00974902" w:rsidRDefault="00974902">
            <w:pPr>
              <w:pStyle w:val="BAS-Normal0"/>
              <w:spacing w:before="60"/>
              <w:jc w:val="left"/>
            </w:pPr>
          </w:p>
        </w:tc>
      </w:tr>
      <w:tr w:rsidR="00974902">
        <w:trPr>
          <w:trHeight w:val="504"/>
        </w:trPr>
        <w:tc>
          <w:tcPr>
            <w:tcW w:w="630" w:type="dxa"/>
            <w:gridSpan w:val="2"/>
          </w:tcPr>
          <w:p w:rsidR="00974902" w:rsidRDefault="00AF24A7">
            <w:pPr>
              <w:pStyle w:val="BAS-Normal0"/>
              <w:jc w:val="left"/>
            </w:pPr>
            <w:r>
              <w:t>( 3 )</w:t>
            </w:r>
          </w:p>
        </w:tc>
        <w:tc>
          <w:tcPr>
            <w:tcW w:w="9540" w:type="dxa"/>
            <w:gridSpan w:val="12"/>
          </w:tcPr>
          <w:p w:rsidR="00974902" w:rsidRDefault="00AF24A7">
            <w:pPr>
              <w:pStyle w:val="BAS-Normal0"/>
              <w:jc w:val="left"/>
            </w:pPr>
            <w:r>
              <w:t>[OPTIONAL] Respondent may provide supplemental comments or additional information – including, but not limited to, proposed contract language.</w:t>
            </w:r>
          </w:p>
        </w:tc>
      </w:tr>
      <w:tr w:rsidR="00974902">
        <w:trPr>
          <w:trHeight w:val="576"/>
        </w:trPr>
        <w:tc>
          <w:tcPr>
            <w:tcW w:w="2610" w:type="dxa"/>
            <w:gridSpan w:val="3"/>
            <w:vAlign w:val="bottom"/>
          </w:tcPr>
          <w:p w:rsidR="00974902" w:rsidRDefault="00AF24A7">
            <w:pPr>
              <w:pStyle w:val="BAS-Normal0"/>
            </w:pPr>
            <w:r>
              <w:t>Authorized Signature:</w:t>
            </w:r>
          </w:p>
        </w:tc>
        <w:tc>
          <w:tcPr>
            <w:tcW w:w="3600" w:type="dxa"/>
            <w:gridSpan w:val="6"/>
            <w:tcBorders>
              <w:bottom w:val="single" w:sz="4" w:space="0" w:color="auto"/>
            </w:tcBorders>
            <w:vAlign w:val="bottom"/>
          </w:tcPr>
          <w:p w:rsidR="00974902" w:rsidRDefault="00974902">
            <w:pPr>
              <w:pStyle w:val="BAS-Normal0"/>
            </w:pPr>
          </w:p>
        </w:tc>
        <w:tc>
          <w:tcPr>
            <w:tcW w:w="1530" w:type="dxa"/>
            <w:gridSpan w:val="2"/>
            <w:vAlign w:val="bottom"/>
          </w:tcPr>
          <w:p w:rsidR="00974902" w:rsidRDefault="00AF24A7">
            <w:pPr>
              <w:pStyle w:val="BAS-Normal0"/>
              <w:jc w:val="right"/>
            </w:pPr>
            <w:r>
              <w:t>Date:</w:t>
            </w:r>
          </w:p>
        </w:tc>
        <w:tc>
          <w:tcPr>
            <w:tcW w:w="2430" w:type="dxa"/>
            <w:gridSpan w:val="3"/>
            <w:tcBorders>
              <w:bottom w:val="single" w:sz="4" w:space="0" w:color="auto"/>
            </w:tcBorders>
            <w:vAlign w:val="bottom"/>
          </w:tcPr>
          <w:p w:rsidR="00974902" w:rsidRDefault="00974902">
            <w:pPr>
              <w:pStyle w:val="BAS-Normal0"/>
            </w:pPr>
          </w:p>
        </w:tc>
      </w:tr>
      <w:tr w:rsidR="00974902">
        <w:trPr>
          <w:trHeight w:val="576"/>
        </w:trPr>
        <w:tc>
          <w:tcPr>
            <w:tcW w:w="2610" w:type="dxa"/>
            <w:gridSpan w:val="3"/>
            <w:vAlign w:val="bottom"/>
          </w:tcPr>
          <w:p w:rsidR="00974902" w:rsidRDefault="00AF24A7">
            <w:pPr>
              <w:pStyle w:val="BAS-Normal0"/>
            </w:pPr>
            <w:r>
              <w:t>Printed Name &amp; Title:</w:t>
            </w:r>
          </w:p>
        </w:tc>
        <w:tc>
          <w:tcPr>
            <w:tcW w:w="7560" w:type="dxa"/>
            <w:gridSpan w:val="11"/>
            <w:tcBorders>
              <w:bottom w:val="single" w:sz="4" w:space="0" w:color="auto"/>
            </w:tcBorders>
            <w:vAlign w:val="bottom"/>
          </w:tcPr>
          <w:p w:rsidR="00974902" w:rsidRDefault="00974902">
            <w:pPr>
              <w:pStyle w:val="BAS-Normal0"/>
            </w:pPr>
          </w:p>
        </w:tc>
      </w:tr>
      <w:tr w:rsidR="00974902">
        <w:trPr>
          <w:trHeight w:val="288"/>
        </w:trPr>
        <w:tc>
          <w:tcPr>
            <w:tcW w:w="10170" w:type="dxa"/>
            <w:gridSpan w:val="14"/>
            <w:vAlign w:val="bottom"/>
          </w:tcPr>
          <w:p w:rsidR="00974902" w:rsidRDefault="00974902">
            <w:pPr>
              <w:pStyle w:val="BAS-Normal0"/>
              <w:rPr>
                <w:i/>
                <w:sz w:val="18"/>
              </w:rPr>
            </w:pPr>
          </w:p>
          <w:p w:rsidR="00974902" w:rsidRDefault="00974902">
            <w:pPr>
              <w:pStyle w:val="BAS-Normal0"/>
              <w:rPr>
                <w:i/>
                <w:sz w:val="18"/>
              </w:rPr>
            </w:pPr>
          </w:p>
          <w:p w:rsidR="00974902" w:rsidRDefault="00974902">
            <w:pPr>
              <w:pStyle w:val="BAS-Normal0"/>
              <w:rPr>
                <w:i/>
                <w:sz w:val="18"/>
              </w:rPr>
            </w:pPr>
          </w:p>
        </w:tc>
      </w:tr>
    </w:tbl>
    <w:p w:rsidR="00974902" w:rsidRDefault="00974902">
      <w:pPr>
        <w:pStyle w:val="BAS-Heading1"/>
        <w:numPr>
          <w:ilvl w:val="0"/>
          <w:numId w:val="0"/>
        </w:numPr>
        <w:ind w:left="792" w:hanging="792"/>
        <w:sectPr w:rsidR="00974902" w:rsidSect="008D55B7">
          <w:footerReference w:type="default" r:id="rId9"/>
          <w:pgSz w:w="12240" w:h="15840"/>
          <w:pgMar w:top="1080" w:right="1080" w:bottom="1080" w:left="1080" w:header="720" w:footer="720" w:gutter="0"/>
          <w:pgNumType w:fmt="lowerRoman" w:start="1"/>
          <w:cols w:space="720"/>
          <w:docGrid w:linePitch="360"/>
        </w:sectPr>
      </w:pPr>
    </w:p>
    <w:p w:rsidR="00974902" w:rsidRDefault="00AF24A7">
      <w:pPr>
        <w:pStyle w:val="BAS-Heading1Alt"/>
      </w:pPr>
      <w:bookmarkStart w:id="0" w:name="_Toc422293198"/>
      <w:r>
        <w:lastRenderedPageBreak/>
        <w:t>Table Of Contents</w:t>
      </w:r>
    </w:p>
    <w:p w:rsidR="00052EFE" w:rsidRDefault="00AF24A7">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81766520" w:history="1">
        <w:r w:rsidR="00052EFE" w:rsidRPr="00D52EC3">
          <w:rPr>
            <w:rStyle w:val="Hyperlink"/>
            <w:noProof/>
          </w:rPr>
          <w:t>1.0</w:t>
        </w:r>
        <w:r w:rsidR="00052EFE">
          <w:rPr>
            <w:rFonts w:asciiTheme="minorHAnsi" w:eastAsiaTheme="minorEastAsia" w:hAnsiTheme="minorHAnsi"/>
            <w:noProof/>
            <w:sz w:val="22"/>
            <w:szCs w:val="22"/>
          </w:rPr>
          <w:tab/>
        </w:r>
        <w:r w:rsidR="00052EFE" w:rsidRPr="00D52EC3">
          <w:rPr>
            <w:rStyle w:val="Hyperlink"/>
            <w:noProof/>
          </w:rPr>
          <w:t>Background</w:t>
        </w:r>
        <w:r w:rsidR="00052EFE">
          <w:rPr>
            <w:noProof/>
            <w:webHidden/>
          </w:rPr>
          <w:tab/>
        </w:r>
        <w:r w:rsidR="00052EFE">
          <w:rPr>
            <w:noProof/>
            <w:webHidden/>
          </w:rPr>
          <w:fldChar w:fldCharType="begin"/>
        </w:r>
        <w:r w:rsidR="00052EFE">
          <w:rPr>
            <w:noProof/>
            <w:webHidden/>
          </w:rPr>
          <w:instrText xml:space="preserve"> PAGEREF _Toc481766520 \h </w:instrText>
        </w:r>
        <w:r w:rsidR="00052EFE">
          <w:rPr>
            <w:noProof/>
            <w:webHidden/>
          </w:rPr>
        </w:r>
        <w:r w:rsidR="00052EFE">
          <w:rPr>
            <w:noProof/>
            <w:webHidden/>
          </w:rPr>
          <w:fldChar w:fldCharType="separate"/>
        </w:r>
        <w:r w:rsidR="00052EFE">
          <w:rPr>
            <w:noProof/>
            <w:webHidden/>
          </w:rPr>
          <w:t>3</w:t>
        </w:r>
        <w:r w:rsidR="00052EFE">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1" w:history="1">
        <w:r w:rsidRPr="00D52EC3">
          <w:rPr>
            <w:rStyle w:val="Hyperlink"/>
            <w:noProof/>
          </w:rPr>
          <w:t>1.1</w:t>
        </w:r>
        <w:r>
          <w:rPr>
            <w:rFonts w:asciiTheme="minorHAnsi" w:eastAsiaTheme="minorEastAsia" w:hAnsiTheme="minorHAnsi"/>
            <w:noProof/>
            <w:sz w:val="22"/>
            <w:szCs w:val="22"/>
          </w:rPr>
          <w:tab/>
        </w:r>
        <w:r w:rsidRPr="00D52EC3">
          <w:rPr>
            <w:rStyle w:val="Hyperlink"/>
            <w:noProof/>
          </w:rPr>
          <w:t>Florida Prepaid College Board</w:t>
        </w:r>
        <w:r>
          <w:rPr>
            <w:noProof/>
            <w:webHidden/>
          </w:rPr>
          <w:tab/>
        </w:r>
        <w:r>
          <w:rPr>
            <w:noProof/>
            <w:webHidden/>
          </w:rPr>
          <w:fldChar w:fldCharType="begin"/>
        </w:r>
        <w:r>
          <w:rPr>
            <w:noProof/>
            <w:webHidden/>
          </w:rPr>
          <w:instrText xml:space="preserve"> PAGEREF _Toc481766521 \h </w:instrText>
        </w:r>
        <w:r>
          <w:rPr>
            <w:noProof/>
            <w:webHidden/>
          </w:rPr>
        </w:r>
        <w:r>
          <w:rPr>
            <w:noProof/>
            <w:webHidden/>
          </w:rPr>
          <w:fldChar w:fldCharType="separate"/>
        </w:r>
        <w:r>
          <w:rPr>
            <w:noProof/>
            <w:webHidden/>
          </w:rPr>
          <w:t>3</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2" w:history="1">
        <w:r w:rsidRPr="00D52EC3">
          <w:rPr>
            <w:rStyle w:val="Hyperlink"/>
            <w:noProof/>
          </w:rPr>
          <w:t>1.2</w:t>
        </w:r>
        <w:r>
          <w:rPr>
            <w:rFonts w:asciiTheme="minorHAnsi" w:eastAsiaTheme="minorEastAsia" w:hAnsiTheme="minorHAnsi"/>
            <w:noProof/>
            <w:sz w:val="22"/>
            <w:szCs w:val="22"/>
          </w:rPr>
          <w:tab/>
        </w:r>
        <w:r w:rsidRPr="00D52EC3">
          <w:rPr>
            <w:rStyle w:val="Hyperlink"/>
            <w:noProof/>
          </w:rPr>
          <w:t>Solicitation Purpose</w:t>
        </w:r>
        <w:r>
          <w:rPr>
            <w:noProof/>
            <w:webHidden/>
          </w:rPr>
          <w:tab/>
        </w:r>
        <w:r>
          <w:rPr>
            <w:noProof/>
            <w:webHidden/>
          </w:rPr>
          <w:fldChar w:fldCharType="begin"/>
        </w:r>
        <w:r>
          <w:rPr>
            <w:noProof/>
            <w:webHidden/>
          </w:rPr>
          <w:instrText xml:space="preserve"> PAGEREF _Toc481766522 \h </w:instrText>
        </w:r>
        <w:r>
          <w:rPr>
            <w:noProof/>
            <w:webHidden/>
          </w:rPr>
        </w:r>
        <w:r>
          <w:rPr>
            <w:noProof/>
            <w:webHidden/>
          </w:rPr>
          <w:fldChar w:fldCharType="separate"/>
        </w:r>
        <w:r>
          <w:rPr>
            <w:noProof/>
            <w:webHidden/>
          </w:rPr>
          <w:t>5</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23" w:history="1">
        <w:r w:rsidRPr="00D52EC3">
          <w:rPr>
            <w:rStyle w:val="Hyperlink"/>
            <w:noProof/>
          </w:rPr>
          <w:t>2.0</w:t>
        </w:r>
        <w:r>
          <w:rPr>
            <w:rFonts w:asciiTheme="minorHAnsi" w:eastAsiaTheme="minorEastAsia" w:hAnsiTheme="minorHAnsi"/>
            <w:noProof/>
            <w:sz w:val="22"/>
            <w:szCs w:val="22"/>
          </w:rPr>
          <w:tab/>
        </w:r>
        <w:r w:rsidRPr="00D52EC3">
          <w:rPr>
            <w:rStyle w:val="Hyperlink"/>
            <w:noProof/>
          </w:rPr>
          <w:t>Description of Services</w:t>
        </w:r>
        <w:r>
          <w:rPr>
            <w:noProof/>
            <w:webHidden/>
          </w:rPr>
          <w:tab/>
        </w:r>
        <w:r>
          <w:rPr>
            <w:noProof/>
            <w:webHidden/>
          </w:rPr>
          <w:fldChar w:fldCharType="begin"/>
        </w:r>
        <w:r>
          <w:rPr>
            <w:noProof/>
            <w:webHidden/>
          </w:rPr>
          <w:instrText xml:space="preserve"> PAGEREF _Toc481766523 \h </w:instrText>
        </w:r>
        <w:r>
          <w:rPr>
            <w:noProof/>
            <w:webHidden/>
          </w:rPr>
        </w:r>
        <w:r>
          <w:rPr>
            <w:noProof/>
            <w:webHidden/>
          </w:rPr>
          <w:fldChar w:fldCharType="separate"/>
        </w:r>
        <w:r>
          <w:rPr>
            <w:noProof/>
            <w:webHidden/>
          </w:rPr>
          <w:t>6</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24" w:history="1">
        <w:r w:rsidRPr="00D52EC3">
          <w:rPr>
            <w:rStyle w:val="Hyperlink"/>
            <w:noProof/>
          </w:rPr>
          <w:t>3.0</w:t>
        </w:r>
        <w:r>
          <w:rPr>
            <w:rFonts w:asciiTheme="minorHAnsi" w:eastAsiaTheme="minorEastAsia" w:hAnsiTheme="minorHAnsi"/>
            <w:noProof/>
            <w:sz w:val="22"/>
            <w:szCs w:val="22"/>
          </w:rPr>
          <w:tab/>
        </w:r>
        <w:r w:rsidRPr="00D52EC3">
          <w:rPr>
            <w:rStyle w:val="Hyperlink"/>
            <w:noProof/>
          </w:rPr>
          <w:t>ITN Process</w:t>
        </w:r>
        <w:r>
          <w:rPr>
            <w:noProof/>
            <w:webHidden/>
          </w:rPr>
          <w:tab/>
        </w:r>
        <w:r>
          <w:rPr>
            <w:noProof/>
            <w:webHidden/>
          </w:rPr>
          <w:fldChar w:fldCharType="begin"/>
        </w:r>
        <w:r>
          <w:rPr>
            <w:noProof/>
            <w:webHidden/>
          </w:rPr>
          <w:instrText xml:space="preserve"> PAGEREF _Toc481766524 \h </w:instrText>
        </w:r>
        <w:r>
          <w:rPr>
            <w:noProof/>
            <w:webHidden/>
          </w:rPr>
        </w:r>
        <w:r>
          <w:rPr>
            <w:noProof/>
            <w:webHidden/>
          </w:rPr>
          <w:fldChar w:fldCharType="separate"/>
        </w:r>
        <w:r>
          <w:rPr>
            <w:noProof/>
            <w:webHidden/>
          </w:rPr>
          <w:t>7</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5" w:history="1">
        <w:r w:rsidRPr="00D52EC3">
          <w:rPr>
            <w:rStyle w:val="Hyperlink"/>
            <w:noProof/>
          </w:rPr>
          <w:t>3.1</w:t>
        </w:r>
        <w:r>
          <w:rPr>
            <w:rFonts w:asciiTheme="minorHAnsi" w:eastAsiaTheme="minorEastAsia" w:hAnsiTheme="minorHAnsi"/>
            <w:noProof/>
            <w:sz w:val="22"/>
            <w:szCs w:val="22"/>
          </w:rPr>
          <w:tab/>
        </w:r>
        <w:r w:rsidRPr="00D52EC3">
          <w:rPr>
            <w:rStyle w:val="Hyperlink"/>
            <w:noProof/>
          </w:rPr>
          <w:t>Official Notices</w:t>
        </w:r>
        <w:r>
          <w:rPr>
            <w:noProof/>
            <w:webHidden/>
          </w:rPr>
          <w:tab/>
        </w:r>
        <w:r>
          <w:rPr>
            <w:noProof/>
            <w:webHidden/>
          </w:rPr>
          <w:fldChar w:fldCharType="begin"/>
        </w:r>
        <w:r>
          <w:rPr>
            <w:noProof/>
            <w:webHidden/>
          </w:rPr>
          <w:instrText xml:space="preserve"> PAGEREF _Toc481766525 \h </w:instrText>
        </w:r>
        <w:r>
          <w:rPr>
            <w:noProof/>
            <w:webHidden/>
          </w:rPr>
        </w:r>
        <w:r>
          <w:rPr>
            <w:noProof/>
            <w:webHidden/>
          </w:rPr>
          <w:fldChar w:fldCharType="separate"/>
        </w:r>
        <w:r>
          <w:rPr>
            <w:noProof/>
            <w:webHidden/>
          </w:rPr>
          <w:t>7</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6" w:history="1">
        <w:r w:rsidRPr="00D52EC3">
          <w:rPr>
            <w:rStyle w:val="Hyperlink"/>
            <w:noProof/>
          </w:rPr>
          <w:t>3.2</w:t>
        </w:r>
        <w:r>
          <w:rPr>
            <w:rFonts w:asciiTheme="minorHAnsi" w:eastAsiaTheme="minorEastAsia" w:hAnsiTheme="minorHAnsi"/>
            <w:noProof/>
            <w:sz w:val="22"/>
            <w:szCs w:val="22"/>
          </w:rPr>
          <w:tab/>
        </w:r>
        <w:r w:rsidRPr="00D52EC3">
          <w:rPr>
            <w:rStyle w:val="Hyperlink"/>
            <w:noProof/>
          </w:rPr>
          <w:t>Public Records</w:t>
        </w:r>
        <w:r>
          <w:rPr>
            <w:noProof/>
            <w:webHidden/>
          </w:rPr>
          <w:tab/>
        </w:r>
        <w:r>
          <w:rPr>
            <w:noProof/>
            <w:webHidden/>
          </w:rPr>
          <w:fldChar w:fldCharType="begin"/>
        </w:r>
        <w:r>
          <w:rPr>
            <w:noProof/>
            <w:webHidden/>
          </w:rPr>
          <w:instrText xml:space="preserve"> PAGEREF _Toc481766526 \h </w:instrText>
        </w:r>
        <w:r>
          <w:rPr>
            <w:noProof/>
            <w:webHidden/>
          </w:rPr>
        </w:r>
        <w:r>
          <w:rPr>
            <w:noProof/>
            <w:webHidden/>
          </w:rPr>
          <w:fldChar w:fldCharType="separate"/>
        </w:r>
        <w:r>
          <w:rPr>
            <w:noProof/>
            <w:webHidden/>
          </w:rPr>
          <w:t>7</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7" w:history="1">
        <w:r w:rsidRPr="00D52EC3">
          <w:rPr>
            <w:rStyle w:val="Hyperlink"/>
            <w:noProof/>
          </w:rPr>
          <w:t>3.3</w:t>
        </w:r>
        <w:r>
          <w:rPr>
            <w:rFonts w:asciiTheme="minorHAnsi" w:eastAsiaTheme="minorEastAsia" w:hAnsiTheme="minorHAnsi"/>
            <w:noProof/>
            <w:sz w:val="22"/>
            <w:szCs w:val="22"/>
          </w:rPr>
          <w:tab/>
        </w:r>
        <w:r w:rsidRPr="00D52EC3">
          <w:rPr>
            <w:rStyle w:val="Hyperlink"/>
            <w:noProof/>
          </w:rPr>
          <w:t>Legal Requirements</w:t>
        </w:r>
        <w:r>
          <w:rPr>
            <w:noProof/>
            <w:webHidden/>
          </w:rPr>
          <w:tab/>
        </w:r>
        <w:r>
          <w:rPr>
            <w:noProof/>
            <w:webHidden/>
          </w:rPr>
          <w:fldChar w:fldCharType="begin"/>
        </w:r>
        <w:r>
          <w:rPr>
            <w:noProof/>
            <w:webHidden/>
          </w:rPr>
          <w:instrText xml:space="preserve"> PAGEREF _Toc481766527 \h </w:instrText>
        </w:r>
        <w:r>
          <w:rPr>
            <w:noProof/>
            <w:webHidden/>
          </w:rPr>
        </w:r>
        <w:r>
          <w:rPr>
            <w:noProof/>
            <w:webHidden/>
          </w:rPr>
          <w:fldChar w:fldCharType="separate"/>
        </w:r>
        <w:r>
          <w:rPr>
            <w:noProof/>
            <w:webHidden/>
          </w:rPr>
          <w:t>8</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8" w:history="1">
        <w:r w:rsidRPr="00D52EC3">
          <w:rPr>
            <w:rStyle w:val="Hyperlink"/>
            <w:noProof/>
          </w:rPr>
          <w:t>3.4</w:t>
        </w:r>
        <w:r>
          <w:rPr>
            <w:rFonts w:asciiTheme="minorHAnsi" w:eastAsiaTheme="minorEastAsia" w:hAnsiTheme="minorHAnsi"/>
            <w:noProof/>
            <w:sz w:val="22"/>
            <w:szCs w:val="22"/>
          </w:rPr>
          <w:tab/>
        </w:r>
        <w:r w:rsidRPr="00D52EC3">
          <w:rPr>
            <w:rStyle w:val="Hyperlink"/>
            <w:noProof/>
          </w:rPr>
          <w:t>Protests and Disputes</w:t>
        </w:r>
        <w:r>
          <w:rPr>
            <w:noProof/>
            <w:webHidden/>
          </w:rPr>
          <w:tab/>
        </w:r>
        <w:r>
          <w:rPr>
            <w:noProof/>
            <w:webHidden/>
          </w:rPr>
          <w:fldChar w:fldCharType="begin"/>
        </w:r>
        <w:r>
          <w:rPr>
            <w:noProof/>
            <w:webHidden/>
          </w:rPr>
          <w:instrText xml:space="preserve"> PAGEREF _Toc481766528 \h </w:instrText>
        </w:r>
        <w:r>
          <w:rPr>
            <w:noProof/>
            <w:webHidden/>
          </w:rPr>
        </w:r>
        <w:r>
          <w:rPr>
            <w:noProof/>
            <w:webHidden/>
          </w:rPr>
          <w:fldChar w:fldCharType="separate"/>
        </w:r>
        <w:r>
          <w:rPr>
            <w:noProof/>
            <w:webHidden/>
          </w:rPr>
          <w:t>8</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29" w:history="1">
        <w:r w:rsidRPr="00D52EC3">
          <w:rPr>
            <w:rStyle w:val="Hyperlink"/>
            <w:noProof/>
          </w:rPr>
          <w:t>3.5</w:t>
        </w:r>
        <w:r>
          <w:rPr>
            <w:rFonts w:asciiTheme="minorHAnsi" w:eastAsiaTheme="minorEastAsia" w:hAnsiTheme="minorHAnsi"/>
            <w:noProof/>
            <w:sz w:val="22"/>
            <w:szCs w:val="22"/>
          </w:rPr>
          <w:tab/>
        </w:r>
        <w:r w:rsidRPr="00D52EC3">
          <w:rPr>
            <w:rStyle w:val="Hyperlink"/>
            <w:noProof/>
          </w:rPr>
          <w:t>Limitations on Contacting Personnel and Others</w:t>
        </w:r>
        <w:r>
          <w:rPr>
            <w:noProof/>
            <w:webHidden/>
          </w:rPr>
          <w:tab/>
        </w:r>
        <w:r>
          <w:rPr>
            <w:noProof/>
            <w:webHidden/>
          </w:rPr>
          <w:fldChar w:fldCharType="begin"/>
        </w:r>
        <w:r>
          <w:rPr>
            <w:noProof/>
            <w:webHidden/>
          </w:rPr>
          <w:instrText xml:space="preserve"> PAGEREF _Toc481766529 \h </w:instrText>
        </w:r>
        <w:r>
          <w:rPr>
            <w:noProof/>
            <w:webHidden/>
          </w:rPr>
        </w:r>
        <w:r>
          <w:rPr>
            <w:noProof/>
            <w:webHidden/>
          </w:rPr>
          <w:fldChar w:fldCharType="separate"/>
        </w:r>
        <w:r>
          <w:rPr>
            <w:noProof/>
            <w:webHidden/>
          </w:rPr>
          <w:t>8</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30" w:history="1">
        <w:r w:rsidRPr="00D52EC3">
          <w:rPr>
            <w:rStyle w:val="Hyperlink"/>
            <w:noProof/>
          </w:rPr>
          <w:t>3.6</w:t>
        </w:r>
        <w:r>
          <w:rPr>
            <w:rFonts w:asciiTheme="minorHAnsi" w:eastAsiaTheme="minorEastAsia" w:hAnsiTheme="minorHAnsi"/>
            <w:noProof/>
            <w:sz w:val="22"/>
            <w:szCs w:val="22"/>
          </w:rPr>
          <w:tab/>
        </w:r>
        <w:r w:rsidRPr="00D52EC3">
          <w:rPr>
            <w:rStyle w:val="Hyperlink"/>
            <w:noProof/>
          </w:rPr>
          <w:t>Cost of Developing and Submitting Responses</w:t>
        </w:r>
        <w:r>
          <w:rPr>
            <w:noProof/>
            <w:webHidden/>
          </w:rPr>
          <w:tab/>
        </w:r>
        <w:r>
          <w:rPr>
            <w:noProof/>
            <w:webHidden/>
          </w:rPr>
          <w:fldChar w:fldCharType="begin"/>
        </w:r>
        <w:r>
          <w:rPr>
            <w:noProof/>
            <w:webHidden/>
          </w:rPr>
          <w:instrText xml:space="preserve"> PAGEREF _Toc481766530 \h </w:instrText>
        </w:r>
        <w:r>
          <w:rPr>
            <w:noProof/>
            <w:webHidden/>
          </w:rPr>
        </w:r>
        <w:r>
          <w:rPr>
            <w:noProof/>
            <w:webHidden/>
          </w:rPr>
          <w:fldChar w:fldCharType="separate"/>
        </w:r>
        <w:r>
          <w:rPr>
            <w:noProof/>
            <w:webHidden/>
          </w:rPr>
          <w:t>8</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31" w:history="1">
        <w:r w:rsidRPr="00D52EC3">
          <w:rPr>
            <w:rStyle w:val="Hyperlink"/>
            <w:noProof/>
          </w:rPr>
          <w:t>4.0</w:t>
        </w:r>
        <w:r>
          <w:rPr>
            <w:rFonts w:asciiTheme="minorHAnsi" w:eastAsiaTheme="minorEastAsia" w:hAnsiTheme="minorHAnsi"/>
            <w:noProof/>
            <w:sz w:val="22"/>
            <w:szCs w:val="22"/>
          </w:rPr>
          <w:tab/>
        </w:r>
        <w:r w:rsidRPr="00D52EC3">
          <w:rPr>
            <w:rStyle w:val="Hyperlink"/>
            <w:noProof/>
          </w:rPr>
          <w:t>Schedule</w:t>
        </w:r>
        <w:r>
          <w:rPr>
            <w:noProof/>
            <w:webHidden/>
          </w:rPr>
          <w:tab/>
        </w:r>
        <w:r>
          <w:rPr>
            <w:noProof/>
            <w:webHidden/>
          </w:rPr>
          <w:fldChar w:fldCharType="begin"/>
        </w:r>
        <w:r>
          <w:rPr>
            <w:noProof/>
            <w:webHidden/>
          </w:rPr>
          <w:instrText xml:space="preserve"> PAGEREF _Toc481766531 \h </w:instrText>
        </w:r>
        <w:r>
          <w:rPr>
            <w:noProof/>
            <w:webHidden/>
          </w:rPr>
        </w:r>
        <w:r>
          <w:rPr>
            <w:noProof/>
            <w:webHidden/>
          </w:rPr>
          <w:fldChar w:fldCharType="separate"/>
        </w:r>
        <w:r>
          <w:rPr>
            <w:noProof/>
            <w:webHidden/>
          </w:rPr>
          <w:t>9</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32" w:history="1">
        <w:r w:rsidRPr="00D52EC3">
          <w:rPr>
            <w:rStyle w:val="Hyperlink"/>
            <w:noProof/>
          </w:rPr>
          <w:t>5.0</w:t>
        </w:r>
        <w:r>
          <w:rPr>
            <w:rFonts w:asciiTheme="minorHAnsi" w:eastAsiaTheme="minorEastAsia" w:hAnsiTheme="minorHAnsi"/>
            <w:noProof/>
            <w:sz w:val="22"/>
            <w:szCs w:val="22"/>
          </w:rPr>
          <w:tab/>
        </w:r>
        <w:r w:rsidRPr="00D52EC3">
          <w:rPr>
            <w:rStyle w:val="Hyperlink"/>
            <w:noProof/>
          </w:rPr>
          <w:t>Mandatory Requirements</w:t>
        </w:r>
        <w:r>
          <w:rPr>
            <w:noProof/>
            <w:webHidden/>
          </w:rPr>
          <w:tab/>
        </w:r>
        <w:r>
          <w:rPr>
            <w:noProof/>
            <w:webHidden/>
          </w:rPr>
          <w:fldChar w:fldCharType="begin"/>
        </w:r>
        <w:r>
          <w:rPr>
            <w:noProof/>
            <w:webHidden/>
          </w:rPr>
          <w:instrText xml:space="preserve"> PAGEREF _Toc481766532 \h </w:instrText>
        </w:r>
        <w:r>
          <w:rPr>
            <w:noProof/>
            <w:webHidden/>
          </w:rPr>
        </w:r>
        <w:r>
          <w:rPr>
            <w:noProof/>
            <w:webHidden/>
          </w:rPr>
          <w:fldChar w:fldCharType="separate"/>
        </w:r>
        <w:r>
          <w:rPr>
            <w:noProof/>
            <w:webHidden/>
          </w:rPr>
          <w:t>10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33" w:history="1">
        <w:r w:rsidRPr="00D52EC3">
          <w:rPr>
            <w:rStyle w:val="Hyperlink"/>
            <w:noProof/>
          </w:rPr>
          <w:t>5.1</w:t>
        </w:r>
        <w:r>
          <w:rPr>
            <w:rFonts w:asciiTheme="minorHAnsi" w:eastAsiaTheme="minorEastAsia" w:hAnsiTheme="minorHAnsi"/>
            <w:noProof/>
            <w:sz w:val="22"/>
            <w:szCs w:val="22"/>
          </w:rPr>
          <w:tab/>
        </w:r>
        <w:r w:rsidRPr="00D52EC3">
          <w:rPr>
            <w:rStyle w:val="Hyperlink"/>
            <w:noProof/>
          </w:rPr>
          <w:t>Requests for Clarification</w:t>
        </w:r>
        <w:r>
          <w:rPr>
            <w:noProof/>
            <w:webHidden/>
          </w:rPr>
          <w:tab/>
        </w:r>
        <w:r>
          <w:rPr>
            <w:noProof/>
            <w:webHidden/>
          </w:rPr>
          <w:fldChar w:fldCharType="begin"/>
        </w:r>
        <w:r>
          <w:rPr>
            <w:noProof/>
            <w:webHidden/>
          </w:rPr>
          <w:instrText xml:space="preserve"> PAGEREF _Toc481766533 \h </w:instrText>
        </w:r>
        <w:r>
          <w:rPr>
            <w:noProof/>
            <w:webHidden/>
          </w:rPr>
        </w:r>
        <w:r>
          <w:rPr>
            <w:noProof/>
            <w:webHidden/>
          </w:rPr>
          <w:fldChar w:fldCharType="separate"/>
        </w:r>
        <w:r>
          <w:rPr>
            <w:noProof/>
            <w:webHidden/>
          </w:rPr>
          <w:t>10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34" w:history="1">
        <w:r w:rsidRPr="00D52EC3">
          <w:rPr>
            <w:rStyle w:val="Hyperlink"/>
            <w:noProof/>
          </w:rPr>
          <w:t>5.2</w:t>
        </w:r>
        <w:r>
          <w:rPr>
            <w:rFonts w:asciiTheme="minorHAnsi" w:eastAsiaTheme="minorEastAsia" w:hAnsiTheme="minorHAnsi"/>
            <w:noProof/>
            <w:sz w:val="22"/>
            <w:szCs w:val="22"/>
          </w:rPr>
          <w:tab/>
        </w:r>
        <w:r w:rsidRPr="00D52EC3">
          <w:rPr>
            <w:rStyle w:val="Hyperlink"/>
            <w:noProof/>
          </w:rPr>
          <w:t>Mandatory Qualifications</w:t>
        </w:r>
        <w:r>
          <w:rPr>
            <w:noProof/>
            <w:webHidden/>
          </w:rPr>
          <w:tab/>
        </w:r>
        <w:r>
          <w:rPr>
            <w:noProof/>
            <w:webHidden/>
          </w:rPr>
          <w:fldChar w:fldCharType="begin"/>
        </w:r>
        <w:r>
          <w:rPr>
            <w:noProof/>
            <w:webHidden/>
          </w:rPr>
          <w:instrText xml:space="preserve"> PAGEREF _Toc481766534 \h </w:instrText>
        </w:r>
        <w:r>
          <w:rPr>
            <w:noProof/>
            <w:webHidden/>
          </w:rPr>
        </w:r>
        <w:r>
          <w:rPr>
            <w:noProof/>
            <w:webHidden/>
          </w:rPr>
          <w:fldChar w:fldCharType="separate"/>
        </w:r>
        <w:r>
          <w:rPr>
            <w:noProof/>
            <w:webHidden/>
          </w:rPr>
          <w:t>10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35" w:history="1">
        <w:r w:rsidRPr="00D52EC3">
          <w:rPr>
            <w:rStyle w:val="Hyperlink"/>
            <w:noProof/>
          </w:rPr>
          <w:t>5.3</w:t>
        </w:r>
        <w:r>
          <w:rPr>
            <w:rFonts w:asciiTheme="minorHAnsi" w:eastAsiaTheme="minorEastAsia" w:hAnsiTheme="minorHAnsi"/>
            <w:noProof/>
            <w:sz w:val="22"/>
            <w:szCs w:val="22"/>
          </w:rPr>
          <w:tab/>
        </w:r>
        <w:r w:rsidRPr="00D52EC3">
          <w:rPr>
            <w:rStyle w:val="Hyperlink"/>
            <w:noProof/>
          </w:rPr>
          <w:t>Submission of Responses</w:t>
        </w:r>
        <w:r>
          <w:rPr>
            <w:noProof/>
            <w:webHidden/>
          </w:rPr>
          <w:tab/>
        </w:r>
        <w:r>
          <w:rPr>
            <w:noProof/>
            <w:webHidden/>
          </w:rPr>
          <w:fldChar w:fldCharType="begin"/>
        </w:r>
        <w:r>
          <w:rPr>
            <w:noProof/>
            <w:webHidden/>
          </w:rPr>
          <w:instrText xml:space="preserve"> PAGEREF _Toc481766535 \h </w:instrText>
        </w:r>
        <w:r>
          <w:rPr>
            <w:noProof/>
            <w:webHidden/>
          </w:rPr>
        </w:r>
        <w:r>
          <w:rPr>
            <w:noProof/>
            <w:webHidden/>
          </w:rPr>
          <w:fldChar w:fldCharType="separate"/>
        </w:r>
        <w:r>
          <w:rPr>
            <w:noProof/>
            <w:webHidden/>
          </w:rPr>
          <w:t>10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36" w:history="1">
        <w:r w:rsidRPr="00D52EC3">
          <w:rPr>
            <w:rStyle w:val="Hyperlink"/>
            <w:noProof/>
          </w:rPr>
          <w:t>5.4</w:t>
        </w:r>
        <w:r>
          <w:rPr>
            <w:rFonts w:asciiTheme="minorHAnsi" w:eastAsiaTheme="minorEastAsia" w:hAnsiTheme="minorHAnsi"/>
            <w:noProof/>
            <w:sz w:val="22"/>
            <w:szCs w:val="22"/>
          </w:rPr>
          <w:tab/>
        </w:r>
        <w:r w:rsidRPr="00D52EC3">
          <w:rPr>
            <w:rStyle w:val="Hyperlink"/>
            <w:noProof/>
          </w:rPr>
          <w:t>Response Format and Content</w:t>
        </w:r>
        <w:r>
          <w:rPr>
            <w:noProof/>
            <w:webHidden/>
          </w:rPr>
          <w:tab/>
        </w:r>
        <w:r>
          <w:rPr>
            <w:noProof/>
            <w:webHidden/>
          </w:rPr>
          <w:fldChar w:fldCharType="begin"/>
        </w:r>
        <w:r>
          <w:rPr>
            <w:noProof/>
            <w:webHidden/>
          </w:rPr>
          <w:instrText xml:space="preserve"> PAGEREF _Toc481766536 \h </w:instrText>
        </w:r>
        <w:r>
          <w:rPr>
            <w:noProof/>
            <w:webHidden/>
          </w:rPr>
        </w:r>
        <w:r>
          <w:rPr>
            <w:noProof/>
            <w:webHidden/>
          </w:rPr>
          <w:fldChar w:fldCharType="separate"/>
        </w:r>
        <w:r>
          <w:rPr>
            <w:noProof/>
            <w:webHidden/>
          </w:rPr>
          <w:t>11</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37" w:history="1">
        <w:r w:rsidRPr="00D52EC3">
          <w:rPr>
            <w:rStyle w:val="Hyperlink"/>
            <w:noProof/>
          </w:rPr>
          <w:t>5.4.1</w:t>
        </w:r>
        <w:r>
          <w:rPr>
            <w:rFonts w:asciiTheme="minorHAnsi" w:eastAsiaTheme="minorEastAsia" w:hAnsiTheme="minorHAnsi"/>
            <w:noProof/>
            <w:sz w:val="22"/>
            <w:szCs w:val="22"/>
          </w:rPr>
          <w:tab/>
        </w:r>
        <w:r w:rsidRPr="00D52EC3">
          <w:rPr>
            <w:rStyle w:val="Hyperlink"/>
            <w:noProof/>
          </w:rPr>
          <w:t>[REQUIRED] Invitation to Negotiate Response Form</w:t>
        </w:r>
        <w:r>
          <w:rPr>
            <w:noProof/>
            <w:webHidden/>
          </w:rPr>
          <w:tab/>
        </w:r>
        <w:r>
          <w:rPr>
            <w:noProof/>
            <w:webHidden/>
          </w:rPr>
          <w:fldChar w:fldCharType="begin"/>
        </w:r>
        <w:r>
          <w:rPr>
            <w:noProof/>
            <w:webHidden/>
          </w:rPr>
          <w:instrText xml:space="preserve"> PAGEREF _Toc481766537 \h </w:instrText>
        </w:r>
        <w:r>
          <w:rPr>
            <w:noProof/>
            <w:webHidden/>
          </w:rPr>
        </w:r>
        <w:r>
          <w:rPr>
            <w:noProof/>
            <w:webHidden/>
          </w:rPr>
          <w:fldChar w:fldCharType="separate"/>
        </w:r>
        <w:r>
          <w:rPr>
            <w:noProof/>
            <w:webHidden/>
          </w:rPr>
          <w:t>12</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38" w:history="1">
        <w:r w:rsidRPr="00D52EC3">
          <w:rPr>
            <w:rStyle w:val="Hyperlink"/>
            <w:noProof/>
          </w:rPr>
          <w:t>5.4.2</w:t>
        </w:r>
        <w:r>
          <w:rPr>
            <w:rFonts w:asciiTheme="minorHAnsi" w:eastAsiaTheme="minorEastAsia" w:hAnsiTheme="minorHAnsi"/>
            <w:noProof/>
            <w:sz w:val="22"/>
            <w:szCs w:val="22"/>
          </w:rPr>
          <w:tab/>
        </w:r>
        <w:r w:rsidRPr="00D52EC3">
          <w:rPr>
            <w:rStyle w:val="Hyperlink"/>
            <w:noProof/>
          </w:rPr>
          <w:t>[REQUIRED] Attachment 1: Statutory Prospectus and/or Participation Agreement Documents for Proposed Replication Strategies</w:t>
        </w:r>
        <w:r>
          <w:rPr>
            <w:noProof/>
            <w:webHidden/>
          </w:rPr>
          <w:tab/>
        </w:r>
        <w:r>
          <w:rPr>
            <w:noProof/>
            <w:webHidden/>
          </w:rPr>
          <w:fldChar w:fldCharType="begin"/>
        </w:r>
        <w:r>
          <w:rPr>
            <w:noProof/>
            <w:webHidden/>
          </w:rPr>
          <w:instrText xml:space="preserve"> PAGEREF _Toc481766538 \h </w:instrText>
        </w:r>
        <w:r>
          <w:rPr>
            <w:noProof/>
            <w:webHidden/>
          </w:rPr>
        </w:r>
        <w:r>
          <w:rPr>
            <w:noProof/>
            <w:webHidden/>
          </w:rPr>
          <w:fldChar w:fldCharType="separate"/>
        </w:r>
        <w:r>
          <w:rPr>
            <w:noProof/>
            <w:webHidden/>
          </w:rPr>
          <w:t>12</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39" w:history="1">
        <w:r w:rsidRPr="00D52EC3">
          <w:rPr>
            <w:rStyle w:val="Hyperlink"/>
            <w:noProof/>
          </w:rPr>
          <w:t>5.4.3</w:t>
        </w:r>
        <w:r>
          <w:rPr>
            <w:rFonts w:asciiTheme="minorHAnsi" w:eastAsiaTheme="minorEastAsia" w:hAnsiTheme="minorHAnsi"/>
            <w:noProof/>
            <w:sz w:val="22"/>
            <w:szCs w:val="22"/>
          </w:rPr>
          <w:tab/>
        </w:r>
        <w:r w:rsidRPr="00D52EC3">
          <w:rPr>
            <w:rStyle w:val="Hyperlink"/>
            <w:noProof/>
          </w:rPr>
          <w:t>[REQUIRED] Attachment 2: Statement of Financial Condition</w:t>
        </w:r>
        <w:r>
          <w:rPr>
            <w:noProof/>
            <w:webHidden/>
          </w:rPr>
          <w:tab/>
        </w:r>
        <w:r>
          <w:rPr>
            <w:noProof/>
            <w:webHidden/>
          </w:rPr>
          <w:fldChar w:fldCharType="begin"/>
        </w:r>
        <w:r>
          <w:rPr>
            <w:noProof/>
            <w:webHidden/>
          </w:rPr>
          <w:instrText xml:space="preserve"> PAGEREF _Toc481766539 \h </w:instrText>
        </w:r>
        <w:r>
          <w:rPr>
            <w:noProof/>
            <w:webHidden/>
          </w:rPr>
        </w:r>
        <w:r>
          <w:rPr>
            <w:noProof/>
            <w:webHidden/>
          </w:rPr>
          <w:fldChar w:fldCharType="separate"/>
        </w:r>
        <w:r>
          <w:rPr>
            <w:noProof/>
            <w:webHidden/>
          </w:rPr>
          <w:t>12</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0" w:history="1">
        <w:r w:rsidRPr="00D52EC3">
          <w:rPr>
            <w:rStyle w:val="Hyperlink"/>
            <w:noProof/>
          </w:rPr>
          <w:t>5.4.4</w:t>
        </w:r>
        <w:r>
          <w:rPr>
            <w:rFonts w:asciiTheme="minorHAnsi" w:eastAsiaTheme="minorEastAsia" w:hAnsiTheme="minorHAnsi"/>
            <w:noProof/>
            <w:sz w:val="22"/>
            <w:szCs w:val="22"/>
          </w:rPr>
          <w:tab/>
        </w:r>
        <w:r w:rsidRPr="00D52EC3">
          <w:rPr>
            <w:rStyle w:val="Hyperlink"/>
            <w:noProof/>
          </w:rPr>
          <w:t>[REQUIRED] Attachment 3: Grid Response</w:t>
        </w:r>
        <w:r>
          <w:rPr>
            <w:noProof/>
            <w:webHidden/>
          </w:rPr>
          <w:tab/>
        </w:r>
        <w:r>
          <w:rPr>
            <w:noProof/>
            <w:webHidden/>
          </w:rPr>
          <w:fldChar w:fldCharType="begin"/>
        </w:r>
        <w:r>
          <w:rPr>
            <w:noProof/>
            <w:webHidden/>
          </w:rPr>
          <w:instrText xml:space="preserve"> PAGEREF _Toc481766540 \h </w:instrText>
        </w:r>
        <w:r>
          <w:rPr>
            <w:noProof/>
            <w:webHidden/>
          </w:rPr>
        </w:r>
        <w:r>
          <w:rPr>
            <w:noProof/>
            <w:webHidden/>
          </w:rPr>
          <w:fldChar w:fldCharType="separate"/>
        </w:r>
        <w:r>
          <w:rPr>
            <w:noProof/>
            <w:webHidden/>
          </w:rPr>
          <w:t>12</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1" w:history="1">
        <w:r w:rsidRPr="00D52EC3">
          <w:rPr>
            <w:rStyle w:val="Hyperlink"/>
            <w:noProof/>
          </w:rPr>
          <w:t>5.4.5</w:t>
        </w:r>
        <w:r>
          <w:rPr>
            <w:rFonts w:asciiTheme="minorHAnsi" w:eastAsiaTheme="minorEastAsia" w:hAnsiTheme="minorHAnsi"/>
            <w:noProof/>
            <w:sz w:val="22"/>
            <w:szCs w:val="22"/>
          </w:rPr>
          <w:tab/>
        </w:r>
        <w:r w:rsidRPr="00D52EC3">
          <w:rPr>
            <w:rStyle w:val="Hyperlink"/>
            <w:noProof/>
          </w:rPr>
          <w:t>[OPTIONAL] Attachment 4: Supplemental Information</w:t>
        </w:r>
        <w:r>
          <w:rPr>
            <w:noProof/>
            <w:webHidden/>
          </w:rPr>
          <w:tab/>
        </w:r>
        <w:r>
          <w:rPr>
            <w:noProof/>
            <w:webHidden/>
          </w:rPr>
          <w:fldChar w:fldCharType="begin"/>
        </w:r>
        <w:r>
          <w:rPr>
            <w:noProof/>
            <w:webHidden/>
          </w:rPr>
          <w:instrText xml:space="preserve"> PAGEREF _Toc481766541 \h </w:instrText>
        </w:r>
        <w:r>
          <w:rPr>
            <w:noProof/>
            <w:webHidden/>
          </w:rPr>
        </w:r>
        <w:r>
          <w:rPr>
            <w:noProof/>
            <w:webHidden/>
          </w:rPr>
          <w:fldChar w:fldCharType="separate"/>
        </w:r>
        <w:r>
          <w:rPr>
            <w:noProof/>
            <w:webHidden/>
          </w:rPr>
          <w:t>13</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42" w:history="1">
        <w:r w:rsidRPr="00D52EC3">
          <w:rPr>
            <w:rStyle w:val="Hyperlink"/>
            <w:noProof/>
          </w:rPr>
          <w:t>6.0</w:t>
        </w:r>
        <w:r>
          <w:rPr>
            <w:rFonts w:asciiTheme="minorHAnsi" w:eastAsiaTheme="minorEastAsia" w:hAnsiTheme="minorHAnsi"/>
            <w:noProof/>
            <w:sz w:val="22"/>
            <w:szCs w:val="22"/>
          </w:rPr>
          <w:tab/>
        </w:r>
        <w:r w:rsidRPr="00D52EC3">
          <w:rPr>
            <w:rStyle w:val="Hyperlink"/>
            <w:noProof/>
          </w:rPr>
          <w:t>Evaluation and Negotiation</w:t>
        </w:r>
        <w:r>
          <w:rPr>
            <w:noProof/>
            <w:webHidden/>
          </w:rPr>
          <w:tab/>
        </w:r>
        <w:r>
          <w:rPr>
            <w:noProof/>
            <w:webHidden/>
          </w:rPr>
          <w:fldChar w:fldCharType="begin"/>
        </w:r>
        <w:r>
          <w:rPr>
            <w:noProof/>
            <w:webHidden/>
          </w:rPr>
          <w:instrText xml:space="preserve"> PAGEREF _Toc481766542 \h </w:instrText>
        </w:r>
        <w:r>
          <w:rPr>
            <w:noProof/>
            <w:webHidden/>
          </w:rPr>
        </w:r>
        <w:r>
          <w:rPr>
            <w:noProof/>
            <w:webHidden/>
          </w:rPr>
          <w:fldChar w:fldCharType="separate"/>
        </w:r>
        <w:r>
          <w:rPr>
            <w:noProof/>
            <w:webHidden/>
          </w:rPr>
          <w:t>14</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43" w:history="1">
        <w:r w:rsidRPr="00D52EC3">
          <w:rPr>
            <w:rStyle w:val="Hyperlink"/>
            <w:noProof/>
          </w:rPr>
          <w:t>6.1</w:t>
        </w:r>
        <w:r>
          <w:rPr>
            <w:rFonts w:asciiTheme="minorHAnsi" w:eastAsiaTheme="minorEastAsia" w:hAnsiTheme="minorHAnsi"/>
            <w:noProof/>
            <w:sz w:val="22"/>
            <w:szCs w:val="22"/>
          </w:rPr>
          <w:tab/>
        </w:r>
        <w:r w:rsidRPr="00D52EC3">
          <w:rPr>
            <w:rStyle w:val="Hyperlink"/>
            <w:noProof/>
          </w:rPr>
          <w:t>Evaluation</w:t>
        </w:r>
        <w:r>
          <w:rPr>
            <w:noProof/>
            <w:webHidden/>
          </w:rPr>
          <w:tab/>
        </w:r>
        <w:r>
          <w:rPr>
            <w:noProof/>
            <w:webHidden/>
          </w:rPr>
          <w:fldChar w:fldCharType="begin"/>
        </w:r>
        <w:r>
          <w:rPr>
            <w:noProof/>
            <w:webHidden/>
          </w:rPr>
          <w:instrText xml:space="preserve"> PAGEREF _Toc481766543 \h </w:instrText>
        </w:r>
        <w:r>
          <w:rPr>
            <w:noProof/>
            <w:webHidden/>
          </w:rPr>
        </w:r>
        <w:r>
          <w:rPr>
            <w:noProof/>
            <w:webHidden/>
          </w:rPr>
          <w:fldChar w:fldCharType="separate"/>
        </w:r>
        <w:r>
          <w:rPr>
            <w:noProof/>
            <w:webHidden/>
          </w:rPr>
          <w:t>14</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4" w:history="1">
        <w:r w:rsidRPr="00D52EC3">
          <w:rPr>
            <w:rStyle w:val="Hyperlink"/>
            <w:noProof/>
          </w:rPr>
          <w:t>6.1.1</w:t>
        </w:r>
        <w:r>
          <w:rPr>
            <w:rFonts w:asciiTheme="minorHAnsi" w:eastAsiaTheme="minorEastAsia" w:hAnsiTheme="minorHAnsi"/>
            <w:noProof/>
            <w:sz w:val="22"/>
            <w:szCs w:val="22"/>
          </w:rPr>
          <w:tab/>
        </w:r>
        <w:r w:rsidRPr="00D52EC3">
          <w:rPr>
            <w:rStyle w:val="Hyperlink"/>
            <w:noProof/>
          </w:rPr>
          <w:t>Evaluation Step 1: Evaluation of Mandatory Requirements</w:t>
        </w:r>
        <w:r>
          <w:rPr>
            <w:noProof/>
            <w:webHidden/>
          </w:rPr>
          <w:tab/>
        </w:r>
        <w:r>
          <w:rPr>
            <w:noProof/>
            <w:webHidden/>
          </w:rPr>
          <w:fldChar w:fldCharType="begin"/>
        </w:r>
        <w:r>
          <w:rPr>
            <w:noProof/>
            <w:webHidden/>
          </w:rPr>
          <w:instrText xml:space="preserve"> PAGEREF _Toc481766544 \h </w:instrText>
        </w:r>
        <w:r>
          <w:rPr>
            <w:noProof/>
            <w:webHidden/>
          </w:rPr>
        </w:r>
        <w:r>
          <w:rPr>
            <w:noProof/>
            <w:webHidden/>
          </w:rPr>
          <w:fldChar w:fldCharType="separate"/>
        </w:r>
        <w:r>
          <w:rPr>
            <w:noProof/>
            <w:webHidden/>
          </w:rPr>
          <w:t>14</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5" w:history="1">
        <w:r w:rsidRPr="00D52EC3">
          <w:rPr>
            <w:rStyle w:val="Hyperlink"/>
            <w:noProof/>
          </w:rPr>
          <w:t>6.1.2</w:t>
        </w:r>
        <w:r>
          <w:rPr>
            <w:rFonts w:asciiTheme="minorHAnsi" w:eastAsiaTheme="minorEastAsia" w:hAnsiTheme="minorHAnsi"/>
            <w:noProof/>
            <w:sz w:val="22"/>
            <w:szCs w:val="22"/>
          </w:rPr>
          <w:tab/>
        </w:r>
        <w:r w:rsidRPr="00D52EC3">
          <w:rPr>
            <w:rStyle w:val="Hyperlink"/>
            <w:noProof/>
          </w:rPr>
          <w:t>Evaluation Step 2: Evaluation of Responsive Replies</w:t>
        </w:r>
        <w:r>
          <w:rPr>
            <w:noProof/>
            <w:webHidden/>
          </w:rPr>
          <w:tab/>
        </w:r>
        <w:r>
          <w:rPr>
            <w:noProof/>
            <w:webHidden/>
          </w:rPr>
          <w:fldChar w:fldCharType="begin"/>
        </w:r>
        <w:r>
          <w:rPr>
            <w:noProof/>
            <w:webHidden/>
          </w:rPr>
          <w:instrText xml:space="preserve"> PAGEREF _Toc481766545 \h </w:instrText>
        </w:r>
        <w:r>
          <w:rPr>
            <w:noProof/>
            <w:webHidden/>
          </w:rPr>
        </w:r>
        <w:r>
          <w:rPr>
            <w:noProof/>
            <w:webHidden/>
          </w:rPr>
          <w:fldChar w:fldCharType="separate"/>
        </w:r>
        <w:r>
          <w:rPr>
            <w:noProof/>
            <w:webHidden/>
          </w:rPr>
          <w:t>14</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6" w:history="1">
        <w:r w:rsidRPr="00D52EC3">
          <w:rPr>
            <w:rStyle w:val="Hyperlink"/>
            <w:noProof/>
          </w:rPr>
          <w:t>6.1.3</w:t>
        </w:r>
        <w:r>
          <w:rPr>
            <w:rFonts w:asciiTheme="minorHAnsi" w:eastAsiaTheme="minorEastAsia" w:hAnsiTheme="minorHAnsi"/>
            <w:noProof/>
            <w:sz w:val="22"/>
            <w:szCs w:val="22"/>
          </w:rPr>
          <w:tab/>
        </w:r>
        <w:r w:rsidRPr="00D52EC3">
          <w:rPr>
            <w:rStyle w:val="Hyperlink"/>
            <w:noProof/>
          </w:rPr>
          <w:t>Evaluation Step 3: Ranking and Shortlisting</w:t>
        </w:r>
        <w:r>
          <w:rPr>
            <w:noProof/>
            <w:webHidden/>
          </w:rPr>
          <w:tab/>
        </w:r>
        <w:r>
          <w:rPr>
            <w:noProof/>
            <w:webHidden/>
          </w:rPr>
          <w:fldChar w:fldCharType="begin"/>
        </w:r>
        <w:r>
          <w:rPr>
            <w:noProof/>
            <w:webHidden/>
          </w:rPr>
          <w:instrText xml:space="preserve"> PAGEREF _Toc481766546 \h </w:instrText>
        </w:r>
        <w:r>
          <w:rPr>
            <w:noProof/>
            <w:webHidden/>
          </w:rPr>
        </w:r>
        <w:r>
          <w:rPr>
            <w:noProof/>
            <w:webHidden/>
          </w:rPr>
          <w:fldChar w:fldCharType="separate"/>
        </w:r>
        <w:r>
          <w:rPr>
            <w:noProof/>
            <w:webHidden/>
          </w:rPr>
          <w:t>16</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47" w:history="1">
        <w:r w:rsidRPr="00D52EC3">
          <w:rPr>
            <w:rStyle w:val="Hyperlink"/>
            <w:noProof/>
          </w:rPr>
          <w:t>6.2</w:t>
        </w:r>
        <w:r>
          <w:rPr>
            <w:rFonts w:asciiTheme="minorHAnsi" w:eastAsiaTheme="minorEastAsia" w:hAnsiTheme="minorHAnsi"/>
            <w:noProof/>
            <w:sz w:val="22"/>
            <w:szCs w:val="22"/>
          </w:rPr>
          <w:tab/>
        </w:r>
        <w:r w:rsidRPr="00D52EC3">
          <w:rPr>
            <w:rStyle w:val="Hyperlink"/>
            <w:noProof/>
          </w:rPr>
          <w:t>Negotiation</w:t>
        </w:r>
        <w:r>
          <w:rPr>
            <w:noProof/>
            <w:webHidden/>
          </w:rPr>
          <w:tab/>
        </w:r>
        <w:r>
          <w:rPr>
            <w:noProof/>
            <w:webHidden/>
          </w:rPr>
          <w:fldChar w:fldCharType="begin"/>
        </w:r>
        <w:r>
          <w:rPr>
            <w:noProof/>
            <w:webHidden/>
          </w:rPr>
          <w:instrText xml:space="preserve"> PAGEREF _Toc481766547 \h </w:instrText>
        </w:r>
        <w:r>
          <w:rPr>
            <w:noProof/>
            <w:webHidden/>
          </w:rPr>
        </w:r>
        <w:r>
          <w:rPr>
            <w:noProof/>
            <w:webHidden/>
          </w:rPr>
          <w:fldChar w:fldCharType="separate"/>
        </w:r>
        <w:r>
          <w:rPr>
            <w:noProof/>
            <w:webHidden/>
          </w:rPr>
          <w:t>17</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8" w:history="1">
        <w:r w:rsidRPr="00D52EC3">
          <w:rPr>
            <w:rStyle w:val="Hyperlink"/>
            <w:noProof/>
          </w:rPr>
          <w:t>6.2.1</w:t>
        </w:r>
        <w:r>
          <w:rPr>
            <w:rFonts w:asciiTheme="minorHAnsi" w:eastAsiaTheme="minorEastAsia" w:hAnsiTheme="minorHAnsi"/>
            <w:noProof/>
            <w:sz w:val="22"/>
            <w:szCs w:val="22"/>
          </w:rPr>
          <w:tab/>
        </w:r>
        <w:r w:rsidRPr="00D52EC3">
          <w:rPr>
            <w:rStyle w:val="Hyperlink"/>
            <w:noProof/>
          </w:rPr>
          <w:t>Negotiation Meeting(s)</w:t>
        </w:r>
        <w:r>
          <w:rPr>
            <w:noProof/>
            <w:webHidden/>
          </w:rPr>
          <w:tab/>
        </w:r>
        <w:r>
          <w:rPr>
            <w:noProof/>
            <w:webHidden/>
          </w:rPr>
          <w:fldChar w:fldCharType="begin"/>
        </w:r>
        <w:r>
          <w:rPr>
            <w:noProof/>
            <w:webHidden/>
          </w:rPr>
          <w:instrText xml:space="preserve"> PAGEREF _Toc481766548 \h </w:instrText>
        </w:r>
        <w:r>
          <w:rPr>
            <w:noProof/>
            <w:webHidden/>
          </w:rPr>
        </w:r>
        <w:r>
          <w:rPr>
            <w:noProof/>
            <w:webHidden/>
          </w:rPr>
          <w:fldChar w:fldCharType="separate"/>
        </w:r>
        <w:r>
          <w:rPr>
            <w:noProof/>
            <w:webHidden/>
          </w:rPr>
          <w:t>17</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49" w:history="1">
        <w:r w:rsidRPr="00D52EC3">
          <w:rPr>
            <w:rStyle w:val="Hyperlink"/>
            <w:noProof/>
          </w:rPr>
          <w:t>6.2.2</w:t>
        </w:r>
        <w:r>
          <w:rPr>
            <w:rFonts w:asciiTheme="minorHAnsi" w:eastAsiaTheme="minorEastAsia" w:hAnsiTheme="minorHAnsi"/>
            <w:noProof/>
            <w:sz w:val="22"/>
            <w:szCs w:val="22"/>
          </w:rPr>
          <w:tab/>
        </w:r>
        <w:r w:rsidRPr="00D52EC3">
          <w:rPr>
            <w:rStyle w:val="Hyperlink"/>
            <w:noProof/>
          </w:rPr>
          <w:t>Contract Negotiation</w:t>
        </w:r>
        <w:r>
          <w:rPr>
            <w:noProof/>
            <w:webHidden/>
          </w:rPr>
          <w:tab/>
        </w:r>
        <w:r>
          <w:rPr>
            <w:noProof/>
            <w:webHidden/>
          </w:rPr>
          <w:fldChar w:fldCharType="begin"/>
        </w:r>
        <w:r>
          <w:rPr>
            <w:noProof/>
            <w:webHidden/>
          </w:rPr>
          <w:instrText xml:space="preserve"> PAGEREF _Toc481766549 \h </w:instrText>
        </w:r>
        <w:r>
          <w:rPr>
            <w:noProof/>
            <w:webHidden/>
          </w:rPr>
        </w:r>
        <w:r>
          <w:rPr>
            <w:noProof/>
            <w:webHidden/>
          </w:rPr>
          <w:fldChar w:fldCharType="separate"/>
        </w:r>
        <w:r>
          <w:rPr>
            <w:noProof/>
            <w:webHidden/>
          </w:rPr>
          <w:t>17</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50" w:history="1">
        <w:r w:rsidRPr="00D52EC3">
          <w:rPr>
            <w:rStyle w:val="Hyperlink"/>
            <w:noProof/>
          </w:rPr>
          <w:t>6.2.3</w:t>
        </w:r>
        <w:r>
          <w:rPr>
            <w:rFonts w:asciiTheme="minorHAnsi" w:eastAsiaTheme="minorEastAsia" w:hAnsiTheme="minorHAnsi"/>
            <w:noProof/>
            <w:sz w:val="22"/>
            <w:szCs w:val="22"/>
          </w:rPr>
          <w:tab/>
        </w:r>
        <w:r w:rsidRPr="00D52EC3">
          <w:rPr>
            <w:rStyle w:val="Hyperlink"/>
            <w:noProof/>
          </w:rPr>
          <w:t>Board Rights During Negotiations</w:t>
        </w:r>
        <w:r>
          <w:rPr>
            <w:noProof/>
            <w:webHidden/>
          </w:rPr>
          <w:tab/>
        </w:r>
        <w:r>
          <w:rPr>
            <w:noProof/>
            <w:webHidden/>
          </w:rPr>
          <w:fldChar w:fldCharType="begin"/>
        </w:r>
        <w:r>
          <w:rPr>
            <w:noProof/>
            <w:webHidden/>
          </w:rPr>
          <w:instrText xml:space="preserve"> PAGEREF _Toc481766550 \h </w:instrText>
        </w:r>
        <w:r>
          <w:rPr>
            <w:noProof/>
            <w:webHidden/>
          </w:rPr>
        </w:r>
        <w:r>
          <w:rPr>
            <w:noProof/>
            <w:webHidden/>
          </w:rPr>
          <w:fldChar w:fldCharType="separate"/>
        </w:r>
        <w:r>
          <w:rPr>
            <w:noProof/>
            <w:webHidden/>
          </w:rPr>
          <w:t>17</w:t>
        </w:r>
        <w:r>
          <w:rPr>
            <w:noProof/>
            <w:webHidden/>
          </w:rPr>
          <w:fldChar w:fldCharType="end"/>
        </w:r>
      </w:hyperlink>
    </w:p>
    <w:p w:rsidR="00052EFE" w:rsidRDefault="00052EFE">
      <w:pPr>
        <w:pStyle w:val="TOC3"/>
        <w:tabs>
          <w:tab w:val="left" w:pos="1320"/>
          <w:tab w:val="right" w:leader="dot" w:pos="10070"/>
        </w:tabs>
        <w:rPr>
          <w:rFonts w:asciiTheme="minorHAnsi" w:eastAsiaTheme="minorEastAsia" w:hAnsiTheme="minorHAnsi"/>
          <w:noProof/>
          <w:sz w:val="22"/>
          <w:szCs w:val="22"/>
        </w:rPr>
      </w:pPr>
      <w:hyperlink w:anchor="_Toc481766551" w:history="1">
        <w:r w:rsidRPr="00D52EC3">
          <w:rPr>
            <w:rStyle w:val="Hyperlink"/>
            <w:noProof/>
          </w:rPr>
          <w:t>6.2.4</w:t>
        </w:r>
        <w:r>
          <w:rPr>
            <w:rFonts w:asciiTheme="minorHAnsi" w:eastAsiaTheme="minorEastAsia" w:hAnsiTheme="minorHAnsi"/>
            <w:noProof/>
            <w:sz w:val="22"/>
            <w:szCs w:val="22"/>
          </w:rPr>
          <w:tab/>
        </w:r>
        <w:r w:rsidRPr="00D52EC3">
          <w:rPr>
            <w:rStyle w:val="Hyperlink"/>
            <w:noProof/>
          </w:rPr>
          <w:t>Negotiation Meetings Not Open to Public</w:t>
        </w:r>
        <w:r>
          <w:rPr>
            <w:noProof/>
            <w:webHidden/>
          </w:rPr>
          <w:tab/>
        </w:r>
        <w:r>
          <w:rPr>
            <w:noProof/>
            <w:webHidden/>
          </w:rPr>
          <w:fldChar w:fldCharType="begin"/>
        </w:r>
        <w:r>
          <w:rPr>
            <w:noProof/>
            <w:webHidden/>
          </w:rPr>
          <w:instrText xml:space="preserve"> PAGEREF _Toc481766551 \h </w:instrText>
        </w:r>
        <w:r>
          <w:rPr>
            <w:noProof/>
            <w:webHidden/>
          </w:rPr>
        </w:r>
        <w:r>
          <w:rPr>
            <w:noProof/>
            <w:webHidden/>
          </w:rPr>
          <w:fldChar w:fldCharType="separate"/>
        </w:r>
        <w:r>
          <w:rPr>
            <w:noProof/>
            <w:webHidden/>
          </w:rPr>
          <w:t>18</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52" w:history="1">
        <w:r w:rsidRPr="00D52EC3">
          <w:rPr>
            <w:rStyle w:val="Hyperlink"/>
            <w:noProof/>
          </w:rPr>
          <w:t>7.0</w:t>
        </w:r>
        <w:r>
          <w:rPr>
            <w:rFonts w:asciiTheme="minorHAnsi" w:eastAsiaTheme="minorEastAsia" w:hAnsiTheme="minorHAnsi"/>
            <w:noProof/>
            <w:sz w:val="22"/>
            <w:szCs w:val="22"/>
          </w:rPr>
          <w:tab/>
        </w:r>
        <w:r w:rsidRPr="00D52EC3">
          <w:rPr>
            <w:rStyle w:val="Hyperlink"/>
            <w:noProof/>
          </w:rPr>
          <w:t>General Information</w:t>
        </w:r>
        <w:r>
          <w:rPr>
            <w:noProof/>
            <w:webHidden/>
          </w:rPr>
          <w:tab/>
        </w:r>
        <w:r>
          <w:rPr>
            <w:noProof/>
            <w:webHidden/>
          </w:rPr>
          <w:fldChar w:fldCharType="begin"/>
        </w:r>
        <w:r>
          <w:rPr>
            <w:noProof/>
            <w:webHidden/>
          </w:rPr>
          <w:instrText xml:space="preserve"> PAGEREF _Toc481766552 \h </w:instrText>
        </w:r>
        <w:r>
          <w:rPr>
            <w:noProof/>
            <w:webHidden/>
          </w:rPr>
        </w:r>
        <w:r>
          <w:rPr>
            <w:noProof/>
            <w:webHidden/>
          </w:rPr>
          <w:fldChar w:fldCharType="separate"/>
        </w:r>
        <w:r>
          <w:rPr>
            <w:noProof/>
            <w:webHidden/>
          </w:rPr>
          <w:t>19</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3" w:history="1">
        <w:r w:rsidRPr="00D52EC3">
          <w:rPr>
            <w:rStyle w:val="Hyperlink"/>
            <w:noProof/>
          </w:rPr>
          <w:t>7.1</w:t>
        </w:r>
        <w:r>
          <w:rPr>
            <w:rFonts w:asciiTheme="minorHAnsi" w:eastAsiaTheme="minorEastAsia" w:hAnsiTheme="minorHAnsi"/>
            <w:noProof/>
            <w:sz w:val="22"/>
            <w:szCs w:val="22"/>
          </w:rPr>
          <w:tab/>
        </w:r>
        <w:r w:rsidRPr="00D52EC3">
          <w:rPr>
            <w:rStyle w:val="Hyperlink"/>
            <w:noProof/>
          </w:rPr>
          <w:t>Glossary of Terms</w:t>
        </w:r>
        <w:r>
          <w:rPr>
            <w:noProof/>
            <w:webHidden/>
          </w:rPr>
          <w:tab/>
        </w:r>
        <w:r>
          <w:rPr>
            <w:noProof/>
            <w:webHidden/>
          </w:rPr>
          <w:fldChar w:fldCharType="begin"/>
        </w:r>
        <w:r>
          <w:rPr>
            <w:noProof/>
            <w:webHidden/>
          </w:rPr>
          <w:instrText xml:space="preserve"> PAGEREF _Toc481766553 \h </w:instrText>
        </w:r>
        <w:r>
          <w:rPr>
            <w:noProof/>
            <w:webHidden/>
          </w:rPr>
        </w:r>
        <w:r>
          <w:rPr>
            <w:noProof/>
            <w:webHidden/>
          </w:rPr>
          <w:fldChar w:fldCharType="separate"/>
        </w:r>
        <w:r>
          <w:rPr>
            <w:noProof/>
            <w:webHidden/>
          </w:rPr>
          <w:t>19</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4" w:history="1">
        <w:r w:rsidRPr="00D52EC3">
          <w:rPr>
            <w:rStyle w:val="Hyperlink"/>
            <w:noProof/>
          </w:rPr>
          <w:t>7.2</w:t>
        </w:r>
        <w:r>
          <w:rPr>
            <w:rFonts w:asciiTheme="minorHAnsi" w:eastAsiaTheme="minorEastAsia" w:hAnsiTheme="minorHAnsi"/>
            <w:noProof/>
            <w:sz w:val="22"/>
            <w:szCs w:val="22"/>
          </w:rPr>
          <w:tab/>
        </w:r>
        <w:r w:rsidRPr="00D52EC3">
          <w:rPr>
            <w:rStyle w:val="Hyperlink"/>
            <w:noProof/>
          </w:rPr>
          <w:t>Responsibility for Services</w:t>
        </w:r>
        <w:r>
          <w:rPr>
            <w:noProof/>
            <w:webHidden/>
          </w:rPr>
          <w:tab/>
        </w:r>
        <w:r>
          <w:rPr>
            <w:noProof/>
            <w:webHidden/>
          </w:rPr>
          <w:fldChar w:fldCharType="begin"/>
        </w:r>
        <w:r>
          <w:rPr>
            <w:noProof/>
            <w:webHidden/>
          </w:rPr>
          <w:instrText xml:space="preserve"> PAGEREF _Toc481766554 \h </w:instrText>
        </w:r>
        <w:r>
          <w:rPr>
            <w:noProof/>
            <w:webHidden/>
          </w:rPr>
        </w:r>
        <w:r>
          <w:rPr>
            <w:noProof/>
            <w:webHidden/>
          </w:rPr>
          <w:fldChar w:fldCharType="separate"/>
        </w:r>
        <w:r>
          <w:rPr>
            <w:noProof/>
            <w:webHidden/>
          </w:rPr>
          <w:t>19</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5" w:history="1">
        <w:r w:rsidRPr="00D52EC3">
          <w:rPr>
            <w:rStyle w:val="Hyperlink"/>
            <w:noProof/>
          </w:rPr>
          <w:t>7.3</w:t>
        </w:r>
        <w:r>
          <w:rPr>
            <w:rFonts w:asciiTheme="minorHAnsi" w:eastAsiaTheme="minorEastAsia" w:hAnsiTheme="minorHAnsi"/>
            <w:noProof/>
            <w:sz w:val="22"/>
            <w:szCs w:val="22"/>
          </w:rPr>
          <w:tab/>
        </w:r>
        <w:r w:rsidRPr="00D52EC3">
          <w:rPr>
            <w:rStyle w:val="Hyperlink"/>
            <w:noProof/>
          </w:rPr>
          <w:t>Contract</w:t>
        </w:r>
        <w:r>
          <w:rPr>
            <w:noProof/>
            <w:webHidden/>
          </w:rPr>
          <w:tab/>
        </w:r>
        <w:r>
          <w:rPr>
            <w:noProof/>
            <w:webHidden/>
          </w:rPr>
          <w:fldChar w:fldCharType="begin"/>
        </w:r>
        <w:r>
          <w:rPr>
            <w:noProof/>
            <w:webHidden/>
          </w:rPr>
          <w:instrText xml:space="preserve"> PAGEREF _Toc481766555 \h </w:instrText>
        </w:r>
        <w:r>
          <w:rPr>
            <w:noProof/>
            <w:webHidden/>
          </w:rPr>
        </w:r>
        <w:r>
          <w:rPr>
            <w:noProof/>
            <w:webHidden/>
          </w:rPr>
          <w:fldChar w:fldCharType="separate"/>
        </w:r>
        <w:r>
          <w:rPr>
            <w:noProof/>
            <w:webHidden/>
          </w:rPr>
          <w:t>19</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6" w:history="1">
        <w:r w:rsidRPr="00D52EC3">
          <w:rPr>
            <w:rStyle w:val="Hyperlink"/>
            <w:noProof/>
          </w:rPr>
          <w:t>7.4</w:t>
        </w:r>
        <w:r>
          <w:rPr>
            <w:rFonts w:asciiTheme="minorHAnsi" w:eastAsiaTheme="minorEastAsia" w:hAnsiTheme="minorHAnsi"/>
            <w:noProof/>
            <w:sz w:val="22"/>
            <w:szCs w:val="22"/>
          </w:rPr>
          <w:tab/>
        </w:r>
        <w:r w:rsidRPr="00D52EC3">
          <w:rPr>
            <w:rStyle w:val="Hyperlink"/>
            <w:noProof/>
          </w:rPr>
          <w:t>Order of Precedence</w:t>
        </w:r>
        <w:r>
          <w:rPr>
            <w:noProof/>
            <w:webHidden/>
          </w:rPr>
          <w:tab/>
        </w:r>
        <w:r>
          <w:rPr>
            <w:noProof/>
            <w:webHidden/>
          </w:rPr>
          <w:fldChar w:fldCharType="begin"/>
        </w:r>
        <w:r>
          <w:rPr>
            <w:noProof/>
            <w:webHidden/>
          </w:rPr>
          <w:instrText xml:space="preserve"> PAGEREF _Toc481766556 \h </w:instrText>
        </w:r>
        <w:r>
          <w:rPr>
            <w:noProof/>
            <w:webHidden/>
          </w:rPr>
        </w:r>
        <w:r>
          <w:rPr>
            <w:noProof/>
            <w:webHidden/>
          </w:rPr>
          <w:fldChar w:fldCharType="separate"/>
        </w:r>
        <w:r>
          <w:rPr>
            <w:noProof/>
            <w:webHidden/>
          </w:rPr>
          <w:t>19</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7" w:history="1">
        <w:r w:rsidRPr="00D52EC3">
          <w:rPr>
            <w:rStyle w:val="Hyperlink"/>
            <w:noProof/>
          </w:rPr>
          <w:t>7.5</w:t>
        </w:r>
        <w:r>
          <w:rPr>
            <w:rFonts w:asciiTheme="minorHAnsi" w:eastAsiaTheme="minorEastAsia" w:hAnsiTheme="minorHAnsi"/>
            <w:noProof/>
            <w:sz w:val="22"/>
            <w:szCs w:val="22"/>
          </w:rPr>
          <w:tab/>
        </w:r>
        <w:r w:rsidRPr="00D52EC3">
          <w:rPr>
            <w:rStyle w:val="Hyperlink"/>
            <w:noProof/>
          </w:rPr>
          <w:t>Confidentiality of Account Information</w:t>
        </w:r>
        <w:r>
          <w:rPr>
            <w:noProof/>
            <w:webHidden/>
          </w:rPr>
          <w:tab/>
        </w:r>
        <w:r>
          <w:rPr>
            <w:noProof/>
            <w:webHidden/>
          </w:rPr>
          <w:fldChar w:fldCharType="begin"/>
        </w:r>
        <w:r>
          <w:rPr>
            <w:noProof/>
            <w:webHidden/>
          </w:rPr>
          <w:instrText xml:space="preserve"> PAGEREF _Toc481766557 \h </w:instrText>
        </w:r>
        <w:r>
          <w:rPr>
            <w:noProof/>
            <w:webHidden/>
          </w:rPr>
        </w:r>
        <w:r>
          <w:rPr>
            <w:noProof/>
            <w:webHidden/>
          </w:rPr>
          <w:fldChar w:fldCharType="separate"/>
        </w:r>
        <w:r>
          <w:rPr>
            <w:noProof/>
            <w:webHidden/>
          </w:rPr>
          <w:t>20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8" w:history="1">
        <w:r w:rsidRPr="00D52EC3">
          <w:rPr>
            <w:rStyle w:val="Hyperlink"/>
            <w:noProof/>
          </w:rPr>
          <w:t>7.6</w:t>
        </w:r>
        <w:r>
          <w:rPr>
            <w:rFonts w:asciiTheme="minorHAnsi" w:eastAsiaTheme="minorEastAsia" w:hAnsiTheme="minorHAnsi"/>
            <w:noProof/>
            <w:sz w:val="22"/>
            <w:szCs w:val="22"/>
          </w:rPr>
          <w:tab/>
        </w:r>
        <w:r w:rsidRPr="00D52EC3">
          <w:rPr>
            <w:rStyle w:val="Hyperlink"/>
            <w:noProof/>
          </w:rPr>
          <w:t>Property of the Board</w:t>
        </w:r>
        <w:r>
          <w:rPr>
            <w:noProof/>
            <w:webHidden/>
          </w:rPr>
          <w:tab/>
        </w:r>
        <w:r>
          <w:rPr>
            <w:noProof/>
            <w:webHidden/>
          </w:rPr>
          <w:fldChar w:fldCharType="begin"/>
        </w:r>
        <w:r>
          <w:rPr>
            <w:noProof/>
            <w:webHidden/>
          </w:rPr>
          <w:instrText xml:space="preserve"> PAGEREF _Toc481766558 \h </w:instrText>
        </w:r>
        <w:r>
          <w:rPr>
            <w:noProof/>
            <w:webHidden/>
          </w:rPr>
        </w:r>
        <w:r>
          <w:rPr>
            <w:noProof/>
            <w:webHidden/>
          </w:rPr>
          <w:fldChar w:fldCharType="separate"/>
        </w:r>
        <w:r>
          <w:rPr>
            <w:noProof/>
            <w:webHidden/>
          </w:rPr>
          <w:t>20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59" w:history="1">
        <w:r w:rsidRPr="00D52EC3">
          <w:rPr>
            <w:rStyle w:val="Hyperlink"/>
            <w:noProof/>
          </w:rPr>
          <w:t>7.7</w:t>
        </w:r>
        <w:r>
          <w:rPr>
            <w:rFonts w:asciiTheme="minorHAnsi" w:eastAsiaTheme="minorEastAsia" w:hAnsiTheme="minorHAnsi"/>
            <w:noProof/>
            <w:sz w:val="22"/>
            <w:szCs w:val="22"/>
          </w:rPr>
          <w:tab/>
        </w:r>
        <w:r w:rsidRPr="00D52EC3">
          <w:rPr>
            <w:rStyle w:val="Hyperlink"/>
            <w:noProof/>
          </w:rPr>
          <w:t>Response Tenure</w:t>
        </w:r>
        <w:r>
          <w:rPr>
            <w:noProof/>
            <w:webHidden/>
          </w:rPr>
          <w:tab/>
        </w:r>
        <w:r>
          <w:rPr>
            <w:noProof/>
            <w:webHidden/>
          </w:rPr>
          <w:fldChar w:fldCharType="begin"/>
        </w:r>
        <w:r>
          <w:rPr>
            <w:noProof/>
            <w:webHidden/>
          </w:rPr>
          <w:instrText xml:space="preserve"> PAGEREF _Toc481766559 \h </w:instrText>
        </w:r>
        <w:r>
          <w:rPr>
            <w:noProof/>
            <w:webHidden/>
          </w:rPr>
        </w:r>
        <w:r>
          <w:rPr>
            <w:noProof/>
            <w:webHidden/>
          </w:rPr>
          <w:fldChar w:fldCharType="separate"/>
        </w:r>
        <w:r>
          <w:rPr>
            <w:noProof/>
            <w:webHidden/>
          </w:rPr>
          <w:t>20</w:t>
        </w:r>
        <w:r>
          <w:rPr>
            <w:noProof/>
            <w:webHidden/>
          </w:rPr>
          <w:fldChar w:fldCharType="end"/>
        </w:r>
      </w:hyperlink>
    </w:p>
    <w:p w:rsidR="00052EFE" w:rsidRDefault="00052EFE">
      <w:pPr>
        <w:pStyle w:val="TOC2"/>
        <w:tabs>
          <w:tab w:val="left" w:pos="880"/>
          <w:tab w:val="right" w:leader="dot" w:pos="10070"/>
        </w:tabs>
        <w:rPr>
          <w:rFonts w:asciiTheme="minorHAnsi" w:eastAsiaTheme="minorEastAsia" w:hAnsiTheme="minorHAnsi"/>
          <w:noProof/>
          <w:sz w:val="22"/>
          <w:szCs w:val="22"/>
        </w:rPr>
      </w:pPr>
      <w:hyperlink w:anchor="_Toc481766560" w:history="1">
        <w:r w:rsidRPr="00D52EC3">
          <w:rPr>
            <w:rStyle w:val="Hyperlink"/>
            <w:noProof/>
          </w:rPr>
          <w:t>7.8</w:t>
        </w:r>
        <w:r>
          <w:rPr>
            <w:rFonts w:asciiTheme="minorHAnsi" w:eastAsiaTheme="minorEastAsia" w:hAnsiTheme="minorHAnsi"/>
            <w:noProof/>
            <w:sz w:val="22"/>
            <w:szCs w:val="22"/>
          </w:rPr>
          <w:tab/>
        </w:r>
        <w:r w:rsidRPr="00D52EC3">
          <w:rPr>
            <w:rStyle w:val="Hyperlink"/>
            <w:noProof/>
          </w:rPr>
          <w:t>News Releases</w:t>
        </w:r>
        <w:r>
          <w:rPr>
            <w:noProof/>
            <w:webHidden/>
          </w:rPr>
          <w:tab/>
        </w:r>
        <w:r>
          <w:rPr>
            <w:noProof/>
            <w:webHidden/>
          </w:rPr>
          <w:fldChar w:fldCharType="begin"/>
        </w:r>
        <w:r>
          <w:rPr>
            <w:noProof/>
            <w:webHidden/>
          </w:rPr>
          <w:instrText xml:space="preserve"> PAGEREF _Toc481766560 \h </w:instrText>
        </w:r>
        <w:r>
          <w:rPr>
            <w:noProof/>
            <w:webHidden/>
          </w:rPr>
        </w:r>
        <w:r>
          <w:rPr>
            <w:noProof/>
            <w:webHidden/>
          </w:rPr>
          <w:fldChar w:fldCharType="separate"/>
        </w:r>
        <w:r>
          <w:rPr>
            <w:noProof/>
            <w:webHidden/>
          </w:rPr>
          <w:t>20</w:t>
        </w:r>
        <w:r>
          <w:rPr>
            <w:noProof/>
            <w:webHidden/>
          </w:rPr>
          <w:fldChar w:fldCharType="end"/>
        </w:r>
      </w:hyperlink>
    </w:p>
    <w:p w:rsidR="00052EFE" w:rsidRDefault="00052EFE">
      <w:pPr>
        <w:pStyle w:val="TOC1"/>
        <w:rPr>
          <w:rFonts w:asciiTheme="minorHAnsi" w:eastAsiaTheme="minorEastAsia" w:hAnsiTheme="minorHAnsi"/>
          <w:noProof/>
          <w:sz w:val="22"/>
          <w:szCs w:val="22"/>
        </w:rPr>
      </w:pPr>
      <w:hyperlink w:anchor="_Toc481766561" w:history="1">
        <w:r w:rsidRPr="00D52EC3">
          <w:rPr>
            <w:rStyle w:val="Hyperlink"/>
            <w:noProof/>
          </w:rPr>
          <w:t>8.0</w:t>
        </w:r>
        <w:r>
          <w:rPr>
            <w:rFonts w:asciiTheme="minorHAnsi" w:eastAsiaTheme="minorEastAsia" w:hAnsiTheme="minorHAnsi"/>
            <w:noProof/>
            <w:sz w:val="22"/>
            <w:szCs w:val="22"/>
          </w:rPr>
          <w:tab/>
        </w:r>
        <w:r w:rsidRPr="00D52EC3">
          <w:rPr>
            <w:rStyle w:val="Hyperlink"/>
            <w:noProof/>
          </w:rPr>
          <w:t>Appendices</w:t>
        </w:r>
        <w:r>
          <w:rPr>
            <w:noProof/>
            <w:webHidden/>
          </w:rPr>
          <w:tab/>
        </w:r>
        <w:r>
          <w:rPr>
            <w:noProof/>
            <w:webHidden/>
          </w:rPr>
          <w:fldChar w:fldCharType="begin"/>
        </w:r>
        <w:r>
          <w:rPr>
            <w:noProof/>
            <w:webHidden/>
          </w:rPr>
          <w:instrText xml:space="preserve"> PAGEREF _Toc481766561 \h </w:instrText>
        </w:r>
        <w:r>
          <w:rPr>
            <w:noProof/>
            <w:webHidden/>
          </w:rPr>
        </w:r>
        <w:r>
          <w:rPr>
            <w:noProof/>
            <w:webHidden/>
          </w:rPr>
          <w:fldChar w:fldCharType="separate"/>
        </w:r>
        <w:r>
          <w:rPr>
            <w:noProof/>
            <w:webHidden/>
          </w:rPr>
          <w:t>21</w:t>
        </w:r>
        <w:r>
          <w:rPr>
            <w:noProof/>
            <w:webHidden/>
          </w:rPr>
          <w:fldChar w:fldCharType="end"/>
        </w:r>
      </w:hyperlink>
    </w:p>
    <w:p w:rsidR="00052EFE" w:rsidRDefault="00052EFE" w:rsidP="00052EFE">
      <w:pPr>
        <w:pStyle w:val="TOC1"/>
        <w:ind w:left="1350" w:hanging="1350"/>
        <w:rPr>
          <w:rFonts w:asciiTheme="minorHAnsi" w:eastAsiaTheme="minorEastAsia" w:hAnsiTheme="minorHAnsi"/>
          <w:noProof/>
          <w:sz w:val="22"/>
          <w:szCs w:val="22"/>
        </w:rPr>
      </w:pPr>
      <w:hyperlink w:anchor="_Toc481766562" w:history="1">
        <w:r w:rsidRPr="00D52EC3">
          <w:rPr>
            <w:rStyle w:val="Hyperlink"/>
            <w:noProof/>
          </w:rPr>
          <w:t xml:space="preserve">APPENDIX A </w:t>
        </w:r>
        <w:r>
          <w:rPr>
            <w:rFonts w:asciiTheme="minorHAnsi" w:eastAsiaTheme="minorEastAsia" w:hAnsiTheme="minorHAnsi"/>
            <w:noProof/>
            <w:sz w:val="22"/>
            <w:szCs w:val="22"/>
          </w:rPr>
          <w:tab/>
        </w:r>
        <w:r w:rsidRPr="00D52EC3">
          <w:rPr>
            <w:rStyle w:val="Hyperlink"/>
            <w:noProof/>
          </w:rPr>
          <w:t>DRAFT Comprehensive Investment Plan for the Stanley G. Tate Florida Prepaid college Program</w:t>
        </w:r>
        <w:r w:rsidRPr="00052EFE">
          <w:rPr>
            <w:noProof/>
            <w:webHidden/>
            <w:color w:val="FFFFFF" w:themeColor="background1"/>
          </w:rPr>
          <w:tab/>
        </w:r>
        <w:r w:rsidRPr="00052EFE">
          <w:rPr>
            <w:noProof/>
            <w:webHidden/>
            <w:color w:val="FFFFFF" w:themeColor="background1"/>
          </w:rPr>
          <w:fldChar w:fldCharType="begin"/>
        </w:r>
        <w:r w:rsidRPr="00052EFE">
          <w:rPr>
            <w:noProof/>
            <w:webHidden/>
            <w:color w:val="FFFFFF" w:themeColor="background1"/>
          </w:rPr>
          <w:instrText xml:space="preserve"> PAGEREF _Toc481766562 \h </w:instrText>
        </w:r>
        <w:r w:rsidRPr="00052EFE">
          <w:rPr>
            <w:noProof/>
            <w:webHidden/>
            <w:color w:val="FFFFFF" w:themeColor="background1"/>
          </w:rPr>
        </w:r>
        <w:r w:rsidRPr="00052EFE">
          <w:rPr>
            <w:noProof/>
            <w:webHidden/>
            <w:color w:val="FFFFFF" w:themeColor="background1"/>
          </w:rPr>
          <w:fldChar w:fldCharType="separate"/>
        </w:r>
        <w:r w:rsidRPr="00052EFE">
          <w:rPr>
            <w:noProof/>
            <w:webHidden/>
            <w:color w:val="FFFFFF" w:themeColor="background1"/>
          </w:rPr>
          <w:t>0</w:t>
        </w:r>
        <w:r w:rsidRPr="00052EFE">
          <w:rPr>
            <w:noProof/>
            <w:webHidden/>
            <w:color w:val="FFFFFF" w:themeColor="background1"/>
          </w:rPr>
          <w:fldChar w:fldCharType="end"/>
        </w:r>
      </w:hyperlink>
    </w:p>
    <w:p w:rsidR="00052EFE" w:rsidRDefault="00052EFE" w:rsidP="00052EFE">
      <w:pPr>
        <w:pStyle w:val="TOC1"/>
        <w:ind w:left="1350" w:hanging="1350"/>
        <w:rPr>
          <w:rFonts w:asciiTheme="minorHAnsi" w:eastAsiaTheme="minorEastAsia" w:hAnsiTheme="minorHAnsi"/>
          <w:noProof/>
          <w:sz w:val="22"/>
          <w:szCs w:val="22"/>
        </w:rPr>
      </w:pPr>
      <w:hyperlink w:anchor="_Toc481766563" w:history="1">
        <w:r w:rsidRPr="00D52EC3">
          <w:rPr>
            <w:rStyle w:val="Hyperlink"/>
            <w:noProof/>
          </w:rPr>
          <w:t>APPENDIX B</w:t>
        </w:r>
        <w:r>
          <w:rPr>
            <w:rFonts w:asciiTheme="minorHAnsi" w:eastAsiaTheme="minorEastAsia" w:hAnsiTheme="minorHAnsi"/>
            <w:noProof/>
            <w:sz w:val="22"/>
            <w:szCs w:val="22"/>
          </w:rPr>
          <w:tab/>
        </w:r>
        <w:r w:rsidRPr="00D52EC3">
          <w:rPr>
            <w:rStyle w:val="Hyperlink"/>
            <w:noProof/>
          </w:rPr>
          <w:t>DRAFT Comprehensive investment plan Florida College Savings plan</w:t>
        </w:r>
        <w:r w:rsidRPr="00052EFE">
          <w:rPr>
            <w:noProof/>
            <w:webHidden/>
            <w:color w:val="FFFFFF" w:themeColor="background1"/>
          </w:rPr>
          <w:tab/>
        </w:r>
        <w:r w:rsidRPr="00052EFE">
          <w:rPr>
            <w:noProof/>
            <w:webHidden/>
            <w:color w:val="FFFFFF" w:themeColor="background1"/>
          </w:rPr>
          <w:fldChar w:fldCharType="begin"/>
        </w:r>
        <w:r w:rsidRPr="00052EFE">
          <w:rPr>
            <w:noProof/>
            <w:webHidden/>
            <w:color w:val="FFFFFF" w:themeColor="background1"/>
          </w:rPr>
          <w:instrText xml:space="preserve"> PAGEREF _Toc481766563 \h </w:instrText>
        </w:r>
        <w:r w:rsidRPr="00052EFE">
          <w:rPr>
            <w:noProof/>
            <w:webHidden/>
            <w:color w:val="FFFFFF" w:themeColor="background1"/>
          </w:rPr>
        </w:r>
        <w:r w:rsidRPr="00052EFE">
          <w:rPr>
            <w:noProof/>
            <w:webHidden/>
            <w:color w:val="FFFFFF" w:themeColor="background1"/>
          </w:rPr>
          <w:fldChar w:fldCharType="separate"/>
        </w:r>
        <w:r w:rsidRPr="00052EFE">
          <w:rPr>
            <w:noProof/>
            <w:webHidden/>
            <w:color w:val="FFFFFF" w:themeColor="background1"/>
          </w:rPr>
          <w:t>0</w:t>
        </w:r>
        <w:r w:rsidRPr="00052EFE">
          <w:rPr>
            <w:noProof/>
            <w:webHidden/>
            <w:color w:val="FFFFFF" w:themeColor="background1"/>
          </w:rPr>
          <w:fldChar w:fldCharType="end"/>
        </w:r>
      </w:hyperlink>
    </w:p>
    <w:p w:rsidR="00052EFE" w:rsidRDefault="00052EFE" w:rsidP="00052EFE">
      <w:pPr>
        <w:pStyle w:val="TOC1"/>
        <w:ind w:left="1350" w:hanging="1350"/>
        <w:rPr>
          <w:rFonts w:asciiTheme="minorHAnsi" w:eastAsiaTheme="minorEastAsia" w:hAnsiTheme="minorHAnsi"/>
          <w:noProof/>
          <w:sz w:val="22"/>
          <w:szCs w:val="22"/>
        </w:rPr>
      </w:pPr>
      <w:hyperlink w:anchor="_Toc481766565" w:history="1">
        <w:r w:rsidRPr="00D52EC3">
          <w:rPr>
            <w:rStyle w:val="Hyperlink"/>
            <w:noProof/>
          </w:rPr>
          <w:t>APPENDIX C</w:t>
        </w:r>
        <w:r>
          <w:rPr>
            <w:rFonts w:asciiTheme="minorHAnsi" w:eastAsiaTheme="minorEastAsia" w:hAnsiTheme="minorHAnsi"/>
            <w:noProof/>
            <w:sz w:val="22"/>
            <w:szCs w:val="22"/>
          </w:rPr>
          <w:tab/>
        </w:r>
        <w:r w:rsidRPr="00D52EC3">
          <w:rPr>
            <w:rStyle w:val="Hyperlink"/>
            <w:noProof/>
          </w:rPr>
          <w:t>Contract</w:t>
        </w:r>
        <w:r w:rsidRPr="00052EFE">
          <w:rPr>
            <w:noProof/>
            <w:webHidden/>
            <w:color w:val="FFFFFF" w:themeColor="background1"/>
          </w:rPr>
          <w:tab/>
        </w:r>
        <w:r w:rsidRPr="00052EFE">
          <w:rPr>
            <w:noProof/>
            <w:webHidden/>
            <w:color w:val="FFFFFF" w:themeColor="background1"/>
          </w:rPr>
          <w:fldChar w:fldCharType="begin"/>
        </w:r>
        <w:r w:rsidRPr="00052EFE">
          <w:rPr>
            <w:noProof/>
            <w:webHidden/>
            <w:color w:val="FFFFFF" w:themeColor="background1"/>
          </w:rPr>
          <w:instrText xml:space="preserve"> PAGEREF _Toc481766565 \h </w:instrText>
        </w:r>
        <w:r w:rsidRPr="00052EFE">
          <w:rPr>
            <w:noProof/>
            <w:webHidden/>
            <w:color w:val="FFFFFF" w:themeColor="background1"/>
          </w:rPr>
        </w:r>
        <w:r w:rsidRPr="00052EFE">
          <w:rPr>
            <w:noProof/>
            <w:webHidden/>
            <w:color w:val="FFFFFF" w:themeColor="background1"/>
          </w:rPr>
          <w:fldChar w:fldCharType="separate"/>
        </w:r>
        <w:r w:rsidRPr="00052EFE">
          <w:rPr>
            <w:noProof/>
            <w:webHidden/>
            <w:color w:val="FFFFFF" w:themeColor="background1"/>
          </w:rPr>
          <w:t>1</w:t>
        </w:r>
        <w:r w:rsidRPr="00052EFE">
          <w:rPr>
            <w:noProof/>
            <w:webHidden/>
            <w:color w:val="FFFFFF" w:themeColor="background1"/>
          </w:rPr>
          <w:fldChar w:fldCharType="end"/>
        </w:r>
      </w:hyperlink>
    </w:p>
    <w:p w:rsidR="00052EFE" w:rsidRDefault="00052EFE" w:rsidP="00052EFE">
      <w:pPr>
        <w:pStyle w:val="TOC1"/>
        <w:ind w:left="1350" w:hanging="1350"/>
        <w:rPr>
          <w:rFonts w:asciiTheme="minorHAnsi" w:eastAsiaTheme="minorEastAsia" w:hAnsiTheme="minorHAnsi"/>
          <w:noProof/>
          <w:sz w:val="22"/>
          <w:szCs w:val="22"/>
        </w:rPr>
      </w:pPr>
      <w:hyperlink w:anchor="_Toc481766566" w:history="1">
        <w:r w:rsidRPr="00D52EC3">
          <w:rPr>
            <w:rStyle w:val="Hyperlink"/>
            <w:noProof/>
          </w:rPr>
          <w:t>APPENDIX D</w:t>
        </w:r>
        <w:r>
          <w:rPr>
            <w:rFonts w:asciiTheme="minorHAnsi" w:eastAsiaTheme="minorEastAsia" w:hAnsiTheme="minorHAnsi"/>
            <w:noProof/>
            <w:sz w:val="22"/>
            <w:szCs w:val="22"/>
          </w:rPr>
          <w:tab/>
        </w:r>
        <w:r w:rsidRPr="00D52EC3">
          <w:rPr>
            <w:rStyle w:val="Hyperlink"/>
            <w:noProof/>
          </w:rPr>
          <w:t xml:space="preserve">Supplemental </w:t>
        </w:r>
        <w:r>
          <w:rPr>
            <w:rStyle w:val="Hyperlink"/>
            <w:noProof/>
          </w:rPr>
          <w:t>Q</w:t>
        </w:r>
        <w:r w:rsidRPr="00D52EC3">
          <w:rPr>
            <w:rStyle w:val="Hyperlink"/>
            <w:noProof/>
          </w:rPr>
          <w:t xml:space="preserve">uestions </w:t>
        </w:r>
        <w:r>
          <w:rPr>
            <w:rStyle w:val="Hyperlink"/>
            <w:noProof/>
          </w:rPr>
          <w:t>G</w:t>
        </w:r>
        <w:bookmarkStart w:id="1" w:name="_GoBack"/>
        <w:bookmarkEnd w:id="1"/>
        <w:r w:rsidRPr="00D52EC3">
          <w:rPr>
            <w:rStyle w:val="Hyperlink"/>
            <w:noProof/>
          </w:rPr>
          <w:t>rid</w:t>
        </w:r>
        <w:r w:rsidRPr="00052EFE">
          <w:rPr>
            <w:noProof/>
            <w:webHidden/>
            <w:color w:val="FFFFFF" w:themeColor="background1"/>
          </w:rPr>
          <w:tab/>
        </w:r>
        <w:r w:rsidRPr="00052EFE">
          <w:rPr>
            <w:noProof/>
            <w:webHidden/>
            <w:color w:val="FFFFFF" w:themeColor="background1"/>
          </w:rPr>
          <w:fldChar w:fldCharType="begin"/>
        </w:r>
        <w:r w:rsidRPr="00052EFE">
          <w:rPr>
            <w:noProof/>
            <w:webHidden/>
            <w:color w:val="FFFFFF" w:themeColor="background1"/>
          </w:rPr>
          <w:instrText xml:space="preserve"> PAGEREF _Toc481766566 \h </w:instrText>
        </w:r>
        <w:r w:rsidRPr="00052EFE">
          <w:rPr>
            <w:noProof/>
            <w:webHidden/>
            <w:color w:val="FFFFFF" w:themeColor="background1"/>
          </w:rPr>
        </w:r>
        <w:r w:rsidRPr="00052EFE">
          <w:rPr>
            <w:noProof/>
            <w:webHidden/>
            <w:color w:val="FFFFFF" w:themeColor="background1"/>
          </w:rPr>
          <w:fldChar w:fldCharType="separate"/>
        </w:r>
        <w:r w:rsidRPr="00052EFE">
          <w:rPr>
            <w:noProof/>
            <w:webHidden/>
            <w:color w:val="FFFFFF" w:themeColor="background1"/>
          </w:rPr>
          <w:t>14</w:t>
        </w:r>
        <w:r w:rsidRPr="00052EFE">
          <w:rPr>
            <w:noProof/>
            <w:webHidden/>
            <w:color w:val="FFFFFF" w:themeColor="background1"/>
          </w:rPr>
          <w:fldChar w:fldCharType="end"/>
        </w:r>
      </w:hyperlink>
    </w:p>
    <w:p w:rsidR="00974902" w:rsidRDefault="00AF24A7">
      <w:pPr>
        <w:pStyle w:val="TOC1"/>
      </w:pPr>
      <w:r>
        <w:fldChar w:fldCharType="end"/>
      </w:r>
      <w:bookmarkEnd w:id="0"/>
    </w:p>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974902"/>
    <w:p w:rsidR="00974902" w:rsidRDefault="00AF24A7">
      <w:pPr>
        <w:pStyle w:val="BAS-Heading1"/>
      </w:pPr>
      <w:bookmarkStart w:id="2" w:name="_Toc481766520"/>
      <w:r>
        <w:lastRenderedPageBreak/>
        <w:t>Background</w:t>
      </w:r>
      <w:bookmarkEnd w:id="2"/>
    </w:p>
    <w:p w:rsidR="00974902" w:rsidRDefault="00AF24A7">
      <w:pPr>
        <w:pStyle w:val="BAS-Heading2"/>
      </w:pPr>
      <w:bookmarkStart w:id="3" w:name="_Toc481766521"/>
      <w:r>
        <w:t>Florida Prepaid College Board</w:t>
      </w:r>
      <w:bookmarkEnd w:id="3"/>
    </w:p>
    <w:p w:rsidR="00974902" w:rsidRDefault="00AF24A7">
      <w:pPr>
        <w:pStyle w:val="BAS-Normal0"/>
      </w:pPr>
      <w:r>
        <w:t>For more than 25 years, the Florida Prepaid College Board (“Board”) has helped families plan and prepare to meet future postsecondary education expenses. The Board is an agency of the State of Florida created by Section 1009.97 of the Florida Statutes. The Board has seven members who establish policy and monitor performance for the Prepaid Plan and the 529 Savings Plan. Three members of the Board are appointed by the Governor and are subject to confirmation by the Florida Senate. Four members of the Board are designated in Section 1009.971(2), Florida Statutes. These members are the Attorney General, Chief Financial Officer, Chancellor of the State University System and Chancellor of the Florida College System, or their respective designees. The agency is assigned to and administratively housed within the State Board of Administration (“SBA”), but the Board exercises its powers independent of the SBA.  The Board oversees the following programs and organizations:</w:t>
      </w:r>
    </w:p>
    <w:p w:rsidR="00974902" w:rsidRDefault="00974902">
      <w:pPr>
        <w:pStyle w:val="BAS-Normal0"/>
      </w:pPr>
    </w:p>
    <w:p w:rsidR="00974902" w:rsidRDefault="00AF24A7">
      <w:pPr>
        <w:pStyle w:val="BAS-Normal0"/>
        <w:numPr>
          <w:ilvl w:val="0"/>
          <w:numId w:val="27"/>
        </w:numPr>
      </w:pPr>
      <w:bookmarkStart w:id="4" w:name="_Toc377382212"/>
      <w:bookmarkStart w:id="5" w:name="_Toc459122746"/>
      <w:r>
        <w:rPr>
          <w:u w:val="single"/>
        </w:rPr>
        <w:t>Stanley G. Tate Florida Prepaid College Program</w:t>
      </w:r>
      <w:bookmarkEnd w:id="4"/>
      <w:r>
        <w:rPr>
          <w:u w:val="single"/>
        </w:rPr>
        <w:t xml:space="preserve"> (“Prepaid Plan</w:t>
      </w:r>
      <w:r>
        <w:t>”)</w:t>
      </w:r>
      <w:bookmarkEnd w:id="5"/>
      <w:r>
        <w:t xml:space="preserve"> - The Prepaid Plan provides a mechanism whereby costs associated with postsecondary education may be paid in advance of attendance. Florida residency is required. Purchasers sign a Master Contract when they purchase a plan and designate a qualified beneficiary to receive the benefits of the contract at the time of postsecondary enrollment. Proceeds from Prepaid Plan sales are invested in accordance with a Comprehensive Investment Plan approved by the Board.  The Prepaid Plan has sold more than 1.90 million plans since 1988, and it is the largest, longest continuously running and most successful prepaid program in the nation.  As of December 31, 2016, the Prepaid Plan had a market value in excess of $10.92 billion. </w:t>
      </w:r>
    </w:p>
    <w:p w:rsidR="00974902" w:rsidRDefault="00974902">
      <w:pPr>
        <w:pStyle w:val="BAS-Normal0"/>
      </w:pPr>
    </w:p>
    <w:p w:rsidR="00974902" w:rsidRDefault="00AF24A7">
      <w:pPr>
        <w:pStyle w:val="BAS-Normal0"/>
        <w:numPr>
          <w:ilvl w:val="0"/>
          <w:numId w:val="27"/>
        </w:numPr>
      </w:pPr>
      <w:bookmarkStart w:id="6" w:name="_Toc377382213"/>
      <w:bookmarkStart w:id="7" w:name="_Toc459122747"/>
      <w:r>
        <w:rPr>
          <w:bCs/>
          <w:u w:val="single"/>
        </w:rPr>
        <w:t>Florida 529 Savings Plan</w:t>
      </w:r>
      <w:bookmarkEnd w:id="6"/>
      <w:r>
        <w:rPr>
          <w:bCs/>
          <w:u w:val="single"/>
        </w:rPr>
        <w:t xml:space="preserve"> (“Savings Plan”)</w:t>
      </w:r>
      <w:bookmarkEnd w:id="7"/>
      <w:r>
        <w:rPr>
          <w:bCs/>
        </w:rPr>
        <w:t xml:space="preserve"> - </w:t>
      </w:r>
      <w:r>
        <w:t xml:space="preserve">The Savings Plan offers families a flexible way to save for postsecondary education expenses, but offers no guarantees related to principal, earnings or future benefits. Florida residency is not a requirement. Families can save at a pace that meets their budget, allowing them to decide how much money to put into their savings plan. The Savings Plan has over 50,000 active accounts. As of December 31, 2016, the Savings Plan had a market value of approximately $479 million. </w:t>
      </w:r>
    </w:p>
    <w:p w:rsidR="00974902" w:rsidRDefault="00974902">
      <w:pPr>
        <w:pStyle w:val="BAS-Normal0"/>
      </w:pPr>
    </w:p>
    <w:p w:rsidR="00974902" w:rsidRDefault="00AF24A7">
      <w:pPr>
        <w:pStyle w:val="BAS-Normal0"/>
        <w:numPr>
          <w:ilvl w:val="0"/>
          <w:numId w:val="27"/>
        </w:numPr>
      </w:pPr>
      <w:bookmarkStart w:id="8" w:name="_Toc377382214"/>
      <w:bookmarkStart w:id="9" w:name="_Toc459122748"/>
      <w:r>
        <w:rPr>
          <w:bCs/>
          <w:u w:val="single"/>
        </w:rPr>
        <w:t>Stanley G. Tate Florida Prepaid College Foundation</w:t>
      </w:r>
      <w:bookmarkEnd w:id="8"/>
      <w:r>
        <w:rPr>
          <w:bCs/>
          <w:u w:val="single"/>
        </w:rPr>
        <w:t xml:space="preserve"> (“Foundation”)</w:t>
      </w:r>
      <w:bookmarkEnd w:id="9"/>
      <w:r>
        <w:rPr>
          <w:bCs/>
        </w:rPr>
        <w:t xml:space="preserve"> - </w:t>
      </w:r>
      <w:r>
        <w:t xml:space="preserve">Created in 1990 as the charitable arm of the Board, the Foundation (a legislatively authorized Direct Support Organization) provides college scholarships to low-income children and other children in need. Many of these children are the first in their family to have the opportunity to go to college. The Foundation also administers private scholarships for eligible 501(c)(3) charitable organizations. Since inception, the Foundation has awarded nearly 40,000 college scholarships statewide.  For more information about the Foundation, please visit </w:t>
      </w:r>
      <w:hyperlink r:id="rId10" w:history="1">
        <w:r>
          <w:rPr>
            <w:rStyle w:val="Hyperlink"/>
          </w:rPr>
          <w:t>www.floridaprepaidcollegefoundation.com</w:t>
        </w:r>
      </w:hyperlink>
      <w:r>
        <w:t xml:space="preserve">. </w:t>
      </w:r>
    </w:p>
    <w:p w:rsidR="00974902" w:rsidRDefault="00974902">
      <w:pPr>
        <w:pStyle w:val="BAS-Normal0"/>
      </w:pPr>
    </w:p>
    <w:p w:rsidR="00974902" w:rsidRDefault="00AF24A7">
      <w:pPr>
        <w:pStyle w:val="BAS-Normal0"/>
        <w:numPr>
          <w:ilvl w:val="0"/>
          <w:numId w:val="28"/>
        </w:numPr>
      </w:pPr>
      <w:bookmarkStart w:id="10" w:name="_Toc459122749"/>
      <w:r>
        <w:rPr>
          <w:u w:val="single"/>
        </w:rPr>
        <w:t>ABLE United (“ABLE”)</w:t>
      </w:r>
      <w:bookmarkEnd w:id="10"/>
      <w:r>
        <w:t xml:space="preserve"> – Legislatively created in 2015 as a qualified ABLE Program, ABLE, (a Direct Support Organization) provides a savings and investment option for eligible individuals with disabilities. ABLE is intended to supplement, but not replace, the benefits provided through private insurances, Medicaid, Social Security Disability Insurance (SSDI), Supplemental Security Income (SSI), the Beneficiary’s employment, and other sources. Earnings in an ABLE Account are tax-free under Section 529A of the Internal Revenue Code if used to pay for qualified expenditures.  For more information about ABLE please visit: </w:t>
      </w:r>
      <w:r>
        <w:rPr>
          <w:u w:val="single"/>
        </w:rPr>
        <w:t>www.ableunited.com</w:t>
      </w:r>
      <w:r>
        <w:t xml:space="preserve">. </w:t>
      </w:r>
    </w:p>
    <w:p w:rsidR="00974902" w:rsidRDefault="00974902" w:rsidP="0023582C">
      <w:pPr>
        <w:pStyle w:val="BAS-Normal0"/>
        <w:ind w:left="720"/>
      </w:pPr>
    </w:p>
    <w:p w:rsidR="00974902" w:rsidRDefault="00AF24A7">
      <w:pPr>
        <w:pStyle w:val="BAS-Normal0"/>
      </w:pPr>
      <w:r>
        <w:t>The primary statutory provisions affecting the operation of the Florida Prepaid College Board are in Part IV, chapter 1009, Florida Statutes.  The administrative rules of the Board are designated by Title 19B of the Florida Administrative Code.</w:t>
      </w:r>
    </w:p>
    <w:p w:rsidR="00974902" w:rsidRDefault="00AF24A7">
      <w:pPr>
        <w:pStyle w:val="BAS-Normal0"/>
      </w:pPr>
      <w:r>
        <w:t xml:space="preserve">  </w:t>
      </w:r>
    </w:p>
    <w:p w:rsidR="00974902" w:rsidRDefault="00AF24A7">
      <w:pPr>
        <w:pStyle w:val="BAS-Normal0"/>
      </w:pPr>
      <w:r>
        <w:t>For more information about the Florida Prepaid College Board</w:t>
      </w:r>
      <w:r w:rsidR="005B7A06">
        <w:t>,</w:t>
      </w:r>
      <w:r>
        <w:t xml:space="preserve"> including access to the Comprehensive Investment Plans for the Prepaid Plan and the Savings Plan, the Master Contract for the Prepaid Plan and recent annual reports, please visit: </w:t>
      </w:r>
      <w:hyperlink r:id="rId11" w:history="1">
        <w:r>
          <w:rPr>
            <w:rStyle w:val="Hyperlink"/>
          </w:rPr>
          <w:t>www.myfloridaprepaid.com</w:t>
        </w:r>
      </w:hyperlink>
      <w:r>
        <w:t xml:space="preserve">.  The administrative rules of the Board are available at </w:t>
      </w:r>
      <w:hyperlink r:id="rId12" w:history="1">
        <w:r>
          <w:rPr>
            <w:rStyle w:val="Hyperlink"/>
          </w:rPr>
          <w:t>www.flrules.org</w:t>
        </w:r>
      </w:hyperlink>
      <w:r>
        <w:rPr>
          <w:iCs/>
          <w:lang w:val="en"/>
        </w:rPr>
        <w:t>.</w:t>
      </w:r>
    </w:p>
    <w:p w:rsidR="00974902" w:rsidRDefault="00974902">
      <w:pPr>
        <w:pStyle w:val="BAS-Normal0"/>
      </w:pPr>
    </w:p>
    <w:p w:rsidR="00974902" w:rsidRDefault="00974902">
      <w:pPr>
        <w:pStyle w:val="BAS-Normal0"/>
      </w:pPr>
    </w:p>
    <w:p w:rsidR="00974902" w:rsidRDefault="00AF24A7">
      <w:pPr>
        <w:rPr>
          <w:rFonts w:ascii="Century Gothic" w:hAnsi="Century Gothic"/>
          <w:b/>
          <w:sz w:val="20"/>
          <w:szCs w:val="24"/>
        </w:rPr>
      </w:pPr>
      <w:bookmarkStart w:id="11" w:name="_Toc422293200"/>
      <w:r>
        <w:br w:type="page"/>
      </w:r>
    </w:p>
    <w:p w:rsidR="00974902" w:rsidRDefault="00AF24A7">
      <w:pPr>
        <w:pStyle w:val="BAS-Heading2"/>
      </w:pPr>
      <w:bookmarkStart w:id="12" w:name="_Toc422293201"/>
      <w:bookmarkStart w:id="13" w:name="_Toc481766522"/>
      <w:bookmarkEnd w:id="11"/>
      <w:r>
        <w:lastRenderedPageBreak/>
        <w:t>Solicitation Purpose</w:t>
      </w:r>
      <w:bookmarkEnd w:id="12"/>
      <w:bookmarkEnd w:id="13"/>
    </w:p>
    <w:p w:rsidR="00974902" w:rsidRDefault="00AF24A7">
      <w:pPr>
        <w:pStyle w:val="BAS-Normal0"/>
      </w:pPr>
      <w:r>
        <w:t xml:space="preserve">This Invitation to Negotiate (“ITN”) is being issued to obtain Responses from qualified firms (“Respondents”) to provide investment management services for index replication strategies that support some or all of the investment options to be utilized and/or offered for the Stanley G. Tate Florida Prepaid College Program and the Florida 529 Savings Plan. </w:t>
      </w:r>
    </w:p>
    <w:p w:rsidR="00974902" w:rsidRDefault="00974902">
      <w:pPr>
        <w:pStyle w:val="BAS-Normal0"/>
      </w:pPr>
    </w:p>
    <w:p w:rsidR="00974902" w:rsidRDefault="00AF24A7" w:rsidP="00042E27">
      <w:pPr>
        <w:pStyle w:val="BAS-Normal0"/>
        <w:numPr>
          <w:ilvl w:val="0"/>
          <w:numId w:val="28"/>
        </w:numPr>
      </w:pPr>
      <w:r>
        <w:t>The Prepaid Plan had a market value as of December 31, 2016 of approximately $10.92 billion.  The Prepaid Plan has four fixed income investment managers (three active and one passive: $9.10 billion) and six equity investment managers (S&amp;P 500 index: $357 million, large cap domestic value-oriented: $381 million, large cap domestic growth-oriented: $340 million, mid-cap domestic core: $189 million, small-cap domestic core: $190 million, and international with EAFE mandate: $357 million). Please be advised that the Prepaid Plan is considered a Qualified Institutional Buyer.</w:t>
      </w:r>
    </w:p>
    <w:p w:rsidR="00974902" w:rsidRDefault="00974902">
      <w:pPr>
        <w:pStyle w:val="BAS-Normal0"/>
      </w:pPr>
    </w:p>
    <w:p w:rsidR="00974902" w:rsidRDefault="00AF24A7" w:rsidP="00042E27">
      <w:pPr>
        <w:pStyle w:val="BAS-Normal0"/>
        <w:numPr>
          <w:ilvl w:val="0"/>
          <w:numId w:val="28"/>
        </w:numPr>
      </w:pPr>
      <w:r>
        <w:t>The 529 Savings Plan has one fixed income manager ($190 million), one money market manager ($24 million), and six equity investment managers (S&amp;P 500 Index: $57 million, large cap domestic value-oriented: $52 million, large cap domestic growth-oriented $52 million, mid-cap domestic core: $27 million, small-cap domestic core: $28 and international developed markets $46 million).</w:t>
      </w:r>
    </w:p>
    <w:p w:rsidR="00974902" w:rsidRDefault="00974902">
      <w:pPr>
        <w:pStyle w:val="BAS-Normal0"/>
      </w:pPr>
    </w:p>
    <w:p w:rsidR="00974902" w:rsidRDefault="00AF24A7">
      <w:pPr>
        <w:pStyle w:val="BAS-Normal0"/>
      </w:pPr>
      <w:r>
        <w:t xml:space="preserve">For more information on the investments and investment options, see the </w:t>
      </w:r>
      <w:r w:rsidRPr="00F16899">
        <w:t>DRAFT C</w:t>
      </w:r>
      <w:r>
        <w:t>omprehensive Investment Plans in Appendix A and Appendix B.</w:t>
      </w:r>
    </w:p>
    <w:p w:rsidR="00974902" w:rsidRDefault="00974902">
      <w:pPr>
        <w:pStyle w:val="BAS-Normal0"/>
      </w:pPr>
    </w:p>
    <w:p w:rsidR="00974902" w:rsidRDefault="00AF24A7">
      <w:pPr>
        <w:pStyle w:val="BAS-Normal0"/>
      </w:pPr>
      <w:r>
        <w:t xml:space="preserve">The Board seeks to enter into an agreement with one or more large investment management firms who provide index replication strategy vehicles. An agreement, such as that outlined in Appendix C, will be pursued with the selected Respondent(s) to this solicitation deemed to offer the best value. The resulting agreement(s) will be limited to investment management. The administration of the programs will be the sole responsibility of the Board. </w:t>
      </w:r>
    </w:p>
    <w:p w:rsidR="00974902" w:rsidRDefault="00974902">
      <w:pPr>
        <w:pStyle w:val="BAS-Normal0"/>
      </w:pPr>
    </w:p>
    <w:p w:rsidR="00974902" w:rsidRDefault="00AF24A7">
      <w:pPr>
        <w:pStyle w:val="BAS-Normal0"/>
      </w:pPr>
      <w:r w:rsidRPr="00EB190C">
        <w:t xml:space="preserve">To be considered for award, Respondents </w:t>
      </w:r>
      <w:r w:rsidRPr="00EB190C">
        <w:rPr>
          <w:b/>
          <w:u w:val="single"/>
        </w:rPr>
        <w:t>must meet</w:t>
      </w:r>
      <w:r w:rsidRPr="00EB190C">
        <w:t xml:space="preserve"> the standards and requirements set forth in Section 5.0 Mandatory Requirements. Any Respondent that does not satisfy these requirements will be rejected.</w:t>
      </w:r>
    </w:p>
    <w:p w:rsidR="00974902" w:rsidRDefault="00974902">
      <w:pPr>
        <w:pStyle w:val="BAS-Normal0"/>
      </w:pPr>
    </w:p>
    <w:p w:rsidR="00974902" w:rsidRDefault="00AF24A7">
      <w:pPr>
        <w:rPr>
          <w:rFonts w:ascii="Century Gothic" w:hAnsi="Century Gothic"/>
          <w:b/>
          <w:caps/>
          <w:sz w:val="20"/>
          <w:szCs w:val="24"/>
        </w:rPr>
      </w:pPr>
      <w:bookmarkStart w:id="14" w:name="_Toc422293204"/>
      <w:r>
        <w:br w:type="page"/>
      </w:r>
    </w:p>
    <w:p w:rsidR="00974902" w:rsidRDefault="00AF24A7">
      <w:pPr>
        <w:pStyle w:val="BAS-Heading1"/>
      </w:pPr>
      <w:bookmarkStart w:id="15" w:name="_Toc481766523"/>
      <w:r>
        <w:lastRenderedPageBreak/>
        <w:t>Description of Services</w:t>
      </w:r>
      <w:bookmarkEnd w:id="14"/>
      <w:bookmarkEnd w:id="15"/>
    </w:p>
    <w:p w:rsidR="00974902" w:rsidRDefault="00AF24A7">
      <w:pPr>
        <w:pStyle w:val="BAS-Normal0"/>
      </w:pPr>
      <w:r>
        <w:t>The Respondent(s) with whom the Board enters into agreement, pursuant to this solicitation, shall perform comprehensive investment management services, employing a passive management style, for one or more of the investment classes utilized by the Prepaid Plan and investment options offered by the Savings Plan. Services shall include but may not be limited to:</w:t>
      </w:r>
    </w:p>
    <w:p w:rsidR="00974902" w:rsidRDefault="00974902">
      <w:pPr>
        <w:pStyle w:val="BAS-Normal0"/>
      </w:pPr>
    </w:p>
    <w:p w:rsidR="00974902" w:rsidRDefault="00AF24A7">
      <w:pPr>
        <w:pStyle w:val="BAS-Normal0"/>
        <w:numPr>
          <w:ilvl w:val="6"/>
          <w:numId w:val="1"/>
        </w:numPr>
        <w:ind w:left="810" w:hanging="810"/>
      </w:pPr>
      <w:r>
        <w:t>Serve as an agent of the Board to manage and invest assets at the discretion of the Board.</w:t>
      </w:r>
    </w:p>
    <w:p w:rsidR="00974902" w:rsidRDefault="00974902">
      <w:pPr>
        <w:pStyle w:val="BAS-Normal0"/>
        <w:ind w:left="810"/>
      </w:pPr>
    </w:p>
    <w:p w:rsidR="00974902" w:rsidRDefault="00AF24A7">
      <w:pPr>
        <w:pStyle w:val="BAS-Normal0"/>
        <w:numPr>
          <w:ilvl w:val="6"/>
          <w:numId w:val="1"/>
        </w:numPr>
        <w:ind w:left="810" w:hanging="810"/>
      </w:pPr>
      <w:r>
        <w:t>Provide access to index replication strategy vehicles available to the Board for investment of any amount, in any fund, on any trading day at the discretion of the Board.</w:t>
      </w:r>
    </w:p>
    <w:p w:rsidR="00974902" w:rsidRDefault="00974902">
      <w:pPr>
        <w:pStyle w:val="ListParagraph"/>
        <w:spacing w:after="0"/>
        <w:ind w:left="806"/>
      </w:pPr>
    </w:p>
    <w:p w:rsidR="00974902" w:rsidRDefault="00AF24A7">
      <w:pPr>
        <w:pStyle w:val="BAS-Normal0"/>
        <w:numPr>
          <w:ilvl w:val="6"/>
          <w:numId w:val="1"/>
        </w:numPr>
        <w:ind w:left="810" w:hanging="810"/>
      </w:pPr>
      <w:r>
        <w:t>Provide gross and/or net of fee investment performance for monthly, quarterly and/or annual statements.</w:t>
      </w:r>
    </w:p>
    <w:p w:rsidR="00974902" w:rsidRDefault="00974902">
      <w:pPr>
        <w:pStyle w:val="BAS-Normal0"/>
        <w:ind w:left="810"/>
      </w:pPr>
    </w:p>
    <w:p w:rsidR="00974902" w:rsidRDefault="00AF24A7">
      <w:pPr>
        <w:pStyle w:val="BAS-Normal0"/>
        <w:numPr>
          <w:ilvl w:val="6"/>
          <w:numId w:val="1"/>
        </w:numPr>
        <w:ind w:left="810" w:hanging="810"/>
      </w:pPr>
      <w:r>
        <w:t xml:space="preserve">Provide approved logos, trademarks and disclosure materials that may be included in marketing materials created by the Board. </w:t>
      </w:r>
    </w:p>
    <w:p w:rsidR="00974902" w:rsidRDefault="00974902">
      <w:pPr>
        <w:pStyle w:val="BAS-Normal0"/>
        <w:ind w:left="810"/>
      </w:pPr>
    </w:p>
    <w:p w:rsidR="00974902" w:rsidRDefault="00AF24A7">
      <w:pPr>
        <w:pStyle w:val="BAS-Normal0"/>
        <w:numPr>
          <w:ilvl w:val="6"/>
          <w:numId w:val="1"/>
        </w:numPr>
        <w:ind w:left="810" w:hanging="810"/>
      </w:pPr>
      <w:r>
        <w:t xml:space="preserve">Upon request, and for a negotiated fee, make presentations to the Florida Prepaid College Board on investment topics including, but not limited to: strategy, mechanics, environment, performance and projections upon request. </w:t>
      </w:r>
    </w:p>
    <w:p w:rsidR="00974902" w:rsidRDefault="00974902">
      <w:pPr>
        <w:pStyle w:val="BAS-Normal0"/>
      </w:pPr>
    </w:p>
    <w:p w:rsidR="00974902" w:rsidRDefault="00AF24A7">
      <w:pPr>
        <w:rPr>
          <w:rFonts w:ascii="Century Gothic" w:hAnsi="Century Gothic"/>
          <w:b/>
          <w:smallCaps/>
          <w:szCs w:val="24"/>
        </w:rPr>
      </w:pPr>
      <w:r>
        <w:br w:type="page"/>
      </w:r>
    </w:p>
    <w:p w:rsidR="00974902" w:rsidRDefault="00AF24A7">
      <w:pPr>
        <w:pStyle w:val="BAS-Heading1"/>
      </w:pPr>
      <w:bookmarkStart w:id="16" w:name="_Toc422293205"/>
      <w:bookmarkStart w:id="17" w:name="_Toc481766524"/>
      <w:r>
        <w:lastRenderedPageBreak/>
        <w:t>ITN Process</w:t>
      </w:r>
      <w:bookmarkEnd w:id="16"/>
      <w:bookmarkEnd w:id="17"/>
    </w:p>
    <w:p w:rsidR="00974902" w:rsidRDefault="00AF24A7">
      <w:pPr>
        <w:pStyle w:val="BAS-Normal0"/>
      </w:pPr>
      <w:r>
        <w:t>The ITN process is divided into two (2) phases, the Evaluation Phase and the Negotiation Phase. The Evaluation Phase involves the initial evaluation of replies. During the Evaluation Phase, all responsive replies will be evaluated against the evaluation criteria set forth in this document. The Board intends to select the three highest-ranked Respondents (“shortlist”), but may adjust the quantity to accommodate a competitive range, for negotiation.</w:t>
      </w:r>
    </w:p>
    <w:p w:rsidR="00974902" w:rsidRDefault="00974902">
      <w:pPr>
        <w:pStyle w:val="BAS-Normal0"/>
      </w:pPr>
    </w:p>
    <w:p w:rsidR="00974902" w:rsidRDefault="00AF24A7">
      <w:pPr>
        <w:pStyle w:val="BAS-Normal0"/>
      </w:pPr>
      <w:r>
        <w:t>The Board intends to initially negotiate concurrently with the Respondents on the shortlist. However, the Board reserves the right, after posting notice thereof and in its sole discretion, to expand the shortlist to include additional responsive Respondents for negotiation or change the method of negotiation (e.g., order of ranking versus concurrent), if it determines that to do either would be in the best interest of the Board. A Respondent will be deemed responsive unless determined to be nonresponsive pursuant to the terms of this document.</w:t>
      </w:r>
    </w:p>
    <w:p w:rsidR="00974902" w:rsidRDefault="00974902">
      <w:pPr>
        <w:pStyle w:val="BAS-Normal0"/>
      </w:pPr>
    </w:p>
    <w:p w:rsidR="00974902" w:rsidRDefault="00AF24A7">
      <w:pPr>
        <w:pStyle w:val="BAS-Normal0"/>
      </w:pPr>
      <w:r>
        <w:t>The Negotiation Phase will involve at least one (1) telephone conference with each selected shortlist Respondent. During the Negotiation Phase, the Board may request supplemental information and/or best and final offers based on the negotiations or supplemental information. Following negotiations, the Board will post a Notice of Intent to Award, identifying the Respondent(s) that provides the best value to the Board. Be advised, Respondents will not be eliminated from the ITN process until posting of the Notice of Intent to Award.</w:t>
      </w:r>
    </w:p>
    <w:p w:rsidR="00974902" w:rsidRDefault="00974902">
      <w:pPr>
        <w:pStyle w:val="BAS-Normal0"/>
      </w:pPr>
    </w:p>
    <w:p w:rsidR="00974902" w:rsidRDefault="00AF24A7">
      <w:pPr>
        <w:pStyle w:val="BAS-Normal0"/>
      </w:pPr>
      <w:r>
        <w:t>All Respondents shall be accorded fair and equal treatment.</w:t>
      </w:r>
    </w:p>
    <w:p w:rsidR="00974902" w:rsidRDefault="00974902">
      <w:pPr>
        <w:pStyle w:val="BAS-Normal0"/>
      </w:pPr>
    </w:p>
    <w:p w:rsidR="00974902" w:rsidRDefault="00AF24A7">
      <w:pPr>
        <w:pStyle w:val="BAS-Heading2"/>
      </w:pPr>
      <w:bookmarkStart w:id="18" w:name="_Toc422293206"/>
      <w:bookmarkStart w:id="19" w:name="_Toc481766525"/>
      <w:r>
        <w:t>Official Notices</w:t>
      </w:r>
      <w:bookmarkEnd w:id="18"/>
      <w:bookmarkEnd w:id="19"/>
    </w:p>
    <w:p w:rsidR="00974902" w:rsidRDefault="00AF24A7">
      <w:pPr>
        <w:pStyle w:val="BAS-Normal0"/>
      </w:pPr>
      <w:r>
        <w:t xml:space="preserve">All notices, revisions, decisions, intended decisions, addenda and other matters relating to this ITN will be electronically posted on the Department of Management Services (DMS) Vendor Bid System (VBS) website located at: </w:t>
      </w:r>
      <w:hyperlink r:id="rId13" w:history="1">
        <w:r>
          <w:rPr>
            <w:rStyle w:val="Hyperlink"/>
          </w:rPr>
          <w:t>http://myflorida.com/apps/vbs/vbs_www.main_menu</w:t>
        </w:r>
      </w:hyperlink>
      <w:r>
        <w:t>.</w:t>
      </w:r>
    </w:p>
    <w:p w:rsidR="00974902" w:rsidRDefault="00974902">
      <w:pPr>
        <w:pStyle w:val="BAS-Normal0"/>
      </w:pPr>
    </w:p>
    <w:p w:rsidR="00974902" w:rsidRDefault="00AF24A7">
      <w:pPr>
        <w:pStyle w:val="BAS-Normal0"/>
      </w:pPr>
      <w:r>
        <w:t xml:space="preserve">Please utilize the following search criteria to view this information on the aforementioned website: </w:t>
      </w:r>
    </w:p>
    <w:p w:rsidR="00974902" w:rsidRDefault="00974902">
      <w:pPr>
        <w:pStyle w:val="BAS-PlaceHolder"/>
      </w:pPr>
    </w:p>
    <w:p w:rsidR="00974902" w:rsidRDefault="00AF24A7">
      <w:pPr>
        <w:pStyle w:val="BAS-Normal0"/>
      </w:pPr>
      <w:r>
        <w:t>Agency:</w:t>
      </w:r>
      <w:r>
        <w:tab/>
        <w:t>State Board of Administration</w:t>
      </w:r>
    </w:p>
    <w:p w:rsidR="00974902" w:rsidRDefault="00AF24A7">
      <w:pPr>
        <w:pStyle w:val="BAS-Normal0"/>
      </w:pPr>
      <w:r>
        <w:t>Title:</w:t>
      </w:r>
      <w:r>
        <w:tab/>
      </w:r>
      <w:r>
        <w:tab/>
        <w:t>ITN #17-01.</w:t>
      </w:r>
    </w:p>
    <w:p w:rsidR="00974902" w:rsidRDefault="00974902">
      <w:pPr>
        <w:pStyle w:val="BAS-Normal0"/>
      </w:pPr>
    </w:p>
    <w:p w:rsidR="00974902" w:rsidRDefault="00AF24A7">
      <w:pPr>
        <w:pStyle w:val="BAS-Normal0"/>
      </w:pPr>
      <w:r>
        <w:t>It is the responsibility of prospective Respondents to check the VBS for revisions, addenda, notices of decisions, and other information or clarifications to this ITN.</w:t>
      </w:r>
    </w:p>
    <w:p w:rsidR="00974902" w:rsidRDefault="00974902">
      <w:pPr>
        <w:pStyle w:val="BAS-Normal0"/>
      </w:pPr>
    </w:p>
    <w:p w:rsidR="00974902" w:rsidRDefault="00AF24A7">
      <w:pPr>
        <w:pStyle w:val="BAS-Heading2"/>
      </w:pPr>
      <w:bookmarkStart w:id="20" w:name="_Toc422293208"/>
      <w:bookmarkStart w:id="21" w:name="_Toc481766526"/>
      <w:r>
        <w:t>Public Records</w:t>
      </w:r>
      <w:bookmarkEnd w:id="20"/>
      <w:bookmarkEnd w:id="21"/>
    </w:p>
    <w:p w:rsidR="00974902" w:rsidRDefault="00AF24A7">
      <w:pPr>
        <w:pStyle w:val="BAS-Normal0"/>
      </w:pPr>
      <w:r>
        <w:t>All Responses to this ITN shall result in a Respondent’s waiver of any and all rights relating to confidentiality, or claims thereof, upon delivery to the Board. All electronic and written communications pertaining to this ITN, whether sent from or received by the Board and all Responses to this ITN including, without limitation, administrative information, proposed services/commodities and cost information will be subject to disclosure after the contract award as required under Chapter 119 of the Florida Statutes (Florida Public Records Law).</w:t>
      </w:r>
    </w:p>
    <w:p w:rsidR="00974902" w:rsidRDefault="00974902">
      <w:pPr>
        <w:pStyle w:val="BAS-Normal0"/>
      </w:pPr>
    </w:p>
    <w:p w:rsidR="00974902" w:rsidRDefault="00AF24A7">
      <w:pPr>
        <w:pStyle w:val="BAS-Heading2"/>
      </w:pPr>
      <w:bookmarkStart w:id="22" w:name="_Toc422293209"/>
      <w:bookmarkStart w:id="23" w:name="_Toc481766527"/>
      <w:r>
        <w:lastRenderedPageBreak/>
        <w:t>Legal Requirements</w:t>
      </w:r>
      <w:bookmarkEnd w:id="22"/>
      <w:bookmarkEnd w:id="23"/>
    </w:p>
    <w:p w:rsidR="00974902" w:rsidRDefault="00AF24A7">
      <w:pPr>
        <w:pStyle w:val="BAS-Normal0"/>
      </w:pPr>
      <w:r>
        <w:t>Applicable provisions of all federal, state, county, and local laws will govern development, submittal, and evaluation of all Responses received and will govern any and all claims and disputes that may arise between persons submitting a Response and the Board. Lack of knowledge by any Respondent will not constitute a cognizable defense against the legal effect of any such provision.</w:t>
      </w:r>
    </w:p>
    <w:p w:rsidR="00974902" w:rsidRDefault="00974902">
      <w:pPr>
        <w:pStyle w:val="BAS-Normal0"/>
      </w:pPr>
    </w:p>
    <w:p w:rsidR="00974902" w:rsidRDefault="00AF24A7">
      <w:pPr>
        <w:pStyle w:val="BAS-Heading2"/>
      </w:pPr>
      <w:bookmarkStart w:id="24" w:name="_Toc422293210"/>
      <w:bookmarkStart w:id="25" w:name="_Toc481766528"/>
      <w:r>
        <w:t>Protests and Disputes</w:t>
      </w:r>
      <w:bookmarkEnd w:id="24"/>
      <w:bookmarkEnd w:id="25"/>
    </w:p>
    <w:p w:rsidR="00974902" w:rsidRDefault="00AF24A7">
      <w:pPr>
        <w:pStyle w:val="BAS-Normal0"/>
      </w:pPr>
      <w:r>
        <w:t>Any protest concerning this solicitation shall be made in accordance with Sections 120.57(3) and 287.042(2) of the Florida Statutes, and Chapter 28-110 of the Florida Administrative Code. Failure to file a protest within the time prescribed in Section 120.57(3) of the Florida Statutes, or failure to post the bond or other security required by law within the time allowed for filing a bond shall constitute a waiver of proceedings under Chapter 120 of the Florida Statutes.</w:t>
      </w:r>
    </w:p>
    <w:p w:rsidR="00974902" w:rsidRDefault="00974902">
      <w:pPr>
        <w:pStyle w:val="BAS-Normal0"/>
      </w:pPr>
    </w:p>
    <w:p w:rsidR="00974902" w:rsidRDefault="00AF24A7">
      <w:pPr>
        <w:pStyle w:val="BAS-Normal0"/>
        <w:rPr>
          <w:b/>
        </w:rPr>
      </w:pPr>
      <w:r>
        <w:rPr>
          <w:b/>
        </w:rPr>
        <w:t>Section 120.57(3)(b), Florida Statutes and Section 28-110.003, Florida Administrative Code require that a notice of protest of the solicitation documents shall be made within seventy-two (72) hours after the posting of the solicitation.</w:t>
      </w:r>
    </w:p>
    <w:p w:rsidR="00974902" w:rsidRDefault="00974902">
      <w:pPr>
        <w:pStyle w:val="BAS-Normal0"/>
      </w:pPr>
    </w:p>
    <w:p w:rsidR="00974902" w:rsidRDefault="00AF24A7">
      <w:pPr>
        <w:pStyle w:val="BAS-Heading2"/>
      </w:pPr>
      <w:bookmarkStart w:id="26" w:name="_Toc422293211"/>
      <w:bookmarkStart w:id="27" w:name="_Toc481766529"/>
      <w:r>
        <w:t>Limitations on Contacting Personnel and Others</w:t>
      </w:r>
      <w:bookmarkEnd w:id="26"/>
      <w:bookmarkEnd w:id="27"/>
    </w:p>
    <w:p w:rsidR="00974902" w:rsidRDefault="00AF24A7">
      <w:pPr>
        <w:pStyle w:val="BAS-Normal0"/>
      </w:pPr>
      <w:r>
        <w:t>Respondents to this solicitation or persons acting on their behalf may not contact, between the release of the solicitation and the end of the seventy-two-hour (72) period following the agency posting the notice of intended award, excluding Saturdays, Sundays, and state holidays, any employee or officer of the executive or legislative branch concerning any aspect of this solicitation, except in writing to the ITN Administrator or as provided in the solicitation documents. Violation of this provision may be grounds for rejecting a Response.</w:t>
      </w:r>
    </w:p>
    <w:p w:rsidR="00974902" w:rsidRDefault="00974902">
      <w:pPr>
        <w:pStyle w:val="BAS-Normal0"/>
      </w:pPr>
    </w:p>
    <w:p w:rsidR="00974902" w:rsidRDefault="00AF24A7">
      <w:pPr>
        <w:pStyle w:val="BAS-Heading2"/>
      </w:pPr>
      <w:bookmarkStart w:id="28" w:name="_Toc422293212"/>
      <w:bookmarkStart w:id="29" w:name="_Toc481766530"/>
      <w:r>
        <w:t>Cost of Developing and Submitting Responses</w:t>
      </w:r>
      <w:bookmarkEnd w:id="28"/>
      <w:bookmarkEnd w:id="29"/>
    </w:p>
    <w:p w:rsidR="00974902" w:rsidRDefault="00AF24A7">
      <w:pPr>
        <w:pStyle w:val="BAS-Normal0"/>
      </w:pPr>
      <w:r>
        <w:t>The Florida Prepaid College Board nor the State of Florida is liable for any of the costs incurred by the Respondent in preparing and/or submitting a Response.</w:t>
      </w:r>
    </w:p>
    <w:p w:rsidR="00974902" w:rsidRDefault="00AF24A7">
      <w:pPr>
        <w:rPr>
          <w:rFonts w:ascii="Century Gothic" w:hAnsi="Century Gothic"/>
          <w:b/>
          <w:smallCaps/>
          <w:szCs w:val="24"/>
        </w:rPr>
      </w:pPr>
      <w:r>
        <w:br w:type="page"/>
      </w:r>
    </w:p>
    <w:p w:rsidR="00974902" w:rsidRDefault="00AF24A7">
      <w:pPr>
        <w:pStyle w:val="BAS-Heading1"/>
      </w:pPr>
      <w:bookmarkStart w:id="30" w:name="_Toc422293213"/>
      <w:bookmarkStart w:id="31" w:name="_Toc481766531"/>
      <w:r>
        <w:lastRenderedPageBreak/>
        <w:t>Schedule</w:t>
      </w:r>
      <w:bookmarkEnd w:id="30"/>
      <w:bookmarkEnd w:id="31"/>
    </w:p>
    <w:p w:rsidR="00974902" w:rsidRDefault="00AF24A7">
      <w:pPr>
        <w:pStyle w:val="Caption"/>
        <w:rPr>
          <w:rFonts w:ascii="Century Gothic" w:hAnsi="Century Gothic"/>
          <w:b w:val="0"/>
          <w:bCs w:val="0"/>
          <w:color w:val="auto"/>
          <w:sz w:val="20"/>
          <w:szCs w:val="24"/>
        </w:rPr>
      </w:pPr>
      <w:r>
        <w:rPr>
          <w:rFonts w:ascii="Century Gothic" w:hAnsi="Century Gothic"/>
          <w:b w:val="0"/>
          <w:bCs w:val="0"/>
          <w:color w:val="auto"/>
          <w:sz w:val="20"/>
          <w:szCs w:val="24"/>
        </w:rPr>
        <w:t xml:space="preserve">The following time schedule, provided as Table </w:t>
      </w:r>
      <w:r>
        <w:rPr>
          <w:rFonts w:ascii="Century Gothic" w:hAnsi="Century Gothic"/>
          <w:b w:val="0"/>
          <w:bCs w:val="0"/>
          <w:color w:val="auto"/>
          <w:sz w:val="20"/>
          <w:szCs w:val="24"/>
        </w:rPr>
        <w:fldChar w:fldCharType="begin"/>
      </w:r>
      <w:r>
        <w:rPr>
          <w:rFonts w:ascii="Century Gothic" w:hAnsi="Century Gothic"/>
          <w:b w:val="0"/>
          <w:bCs w:val="0"/>
          <w:color w:val="auto"/>
          <w:sz w:val="20"/>
          <w:szCs w:val="24"/>
        </w:rPr>
        <w:instrText xml:space="preserve"> SEQ Table \* ARABIC </w:instrText>
      </w:r>
      <w:r>
        <w:rPr>
          <w:rFonts w:ascii="Century Gothic" w:hAnsi="Century Gothic"/>
          <w:b w:val="0"/>
          <w:bCs w:val="0"/>
          <w:color w:val="auto"/>
          <w:sz w:val="20"/>
          <w:szCs w:val="24"/>
        </w:rPr>
        <w:fldChar w:fldCharType="separate"/>
      </w:r>
      <w:r w:rsidR="00210249">
        <w:rPr>
          <w:rFonts w:ascii="Century Gothic" w:hAnsi="Century Gothic"/>
          <w:b w:val="0"/>
          <w:bCs w:val="0"/>
          <w:noProof/>
          <w:color w:val="auto"/>
          <w:sz w:val="20"/>
          <w:szCs w:val="24"/>
        </w:rPr>
        <w:t>1</w:t>
      </w:r>
      <w:r>
        <w:rPr>
          <w:rFonts w:ascii="Century Gothic" w:hAnsi="Century Gothic"/>
          <w:b w:val="0"/>
          <w:bCs w:val="0"/>
          <w:color w:val="auto"/>
          <w:sz w:val="20"/>
          <w:szCs w:val="24"/>
        </w:rPr>
        <w:fldChar w:fldCharType="end"/>
      </w:r>
      <w:r>
        <w:rPr>
          <w:rFonts w:ascii="Century Gothic" w:hAnsi="Century Gothic"/>
          <w:b w:val="0"/>
          <w:bCs w:val="0"/>
          <w:color w:val="auto"/>
          <w:sz w:val="20"/>
          <w:szCs w:val="24"/>
        </w:rPr>
        <w:t>, is set forth for informational and planning purposes. The Board reserves the right to change any of the dates or times in its sole discretion.</w:t>
      </w:r>
    </w:p>
    <w:tbl>
      <w:tblPr>
        <w:tblStyle w:val="TableGrid"/>
        <w:tblW w:w="10260" w:type="dxa"/>
        <w:tblInd w:w="108" w:type="dxa"/>
        <w:tblLook w:val="04A0" w:firstRow="1" w:lastRow="0" w:firstColumn="1" w:lastColumn="0" w:noHBand="0" w:noVBand="1"/>
      </w:tblPr>
      <w:tblGrid>
        <w:gridCol w:w="4140"/>
        <w:gridCol w:w="2970"/>
        <w:gridCol w:w="3150"/>
      </w:tblGrid>
      <w:tr w:rsidR="00974902">
        <w:tc>
          <w:tcPr>
            <w:tcW w:w="4140" w:type="dxa"/>
          </w:tcPr>
          <w:p w:rsidR="00974902" w:rsidRDefault="00AF24A7">
            <w:pPr>
              <w:spacing w:line="336" w:lineRule="auto"/>
              <w:jc w:val="center"/>
              <w:rPr>
                <w:rFonts w:ascii="Century Gothic" w:hAnsi="Century Gothic"/>
                <w:b/>
                <w:sz w:val="20"/>
                <w:szCs w:val="20"/>
              </w:rPr>
            </w:pPr>
            <w:r>
              <w:rPr>
                <w:rFonts w:ascii="Century Gothic" w:hAnsi="Century Gothic"/>
                <w:b/>
                <w:sz w:val="20"/>
                <w:szCs w:val="20"/>
              </w:rPr>
              <w:t>ACTION</w:t>
            </w:r>
          </w:p>
        </w:tc>
        <w:tc>
          <w:tcPr>
            <w:tcW w:w="2970" w:type="dxa"/>
          </w:tcPr>
          <w:p w:rsidR="00974902" w:rsidRDefault="00AF24A7">
            <w:pPr>
              <w:spacing w:line="336" w:lineRule="auto"/>
              <w:jc w:val="center"/>
              <w:rPr>
                <w:rFonts w:ascii="Century Gothic" w:hAnsi="Century Gothic"/>
                <w:b/>
                <w:sz w:val="20"/>
                <w:szCs w:val="20"/>
              </w:rPr>
            </w:pPr>
            <w:r>
              <w:rPr>
                <w:rFonts w:ascii="Century Gothic" w:hAnsi="Century Gothic"/>
                <w:b/>
                <w:sz w:val="20"/>
                <w:szCs w:val="20"/>
              </w:rPr>
              <w:t>DATE &amp; TIME</w:t>
            </w:r>
          </w:p>
        </w:tc>
        <w:tc>
          <w:tcPr>
            <w:tcW w:w="3150" w:type="dxa"/>
          </w:tcPr>
          <w:p w:rsidR="00974902" w:rsidRDefault="00AF24A7">
            <w:pPr>
              <w:spacing w:line="336" w:lineRule="auto"/>
              <w:jc w:val="center"/>
              <w:rPr>
                <w:rFonts w:ascii="Century Gothic" w:hAnsi="Century Gothic"/>
                <w:b/>
                <w:sz w:val="20"/>
                <w:szCs w:val="20"/>
              </w:rPr>
            </w:pPr>
            <w:r>
              <w:rPr>
                <w:rFonts w:ascii="Century Gothic" w:hAnsi="Century Gothic"/>
                <w:b/>
                <w:sz w:val="20"/>
                <w:szCs w:val="20"/>
              </w:rPr>
              <w:t>ADDRESS</w:t>
            </w: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Notice of issuance of ITN is published in Florida Administrative Register</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May</w:t>
            </w:r>
            <w:r w:rsidR="003364A2">
              <w:rPr>
                <w:rFonts w:ascii="Century Gothic" w:hAnsi="Century Gothic"/>
                <w:sz w:val="20"/>
                <w:szCs w:val="20"/>
              </w:rPr>
              <w:t xml:space="preserve"> 5</w:t>
            </w:r>
            <w:r w:rsidRPr="0023582C">
              <w:rPr>
                <w:rFonts w:ascii="Century Gothic" w:hAnsi="Century Gothic"/>
                <w:sz w:val="20"/>
                <w:szCs w:val="20"/>
              </w:rPr>
              <w:t>, 2017</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ITN Issued</w:t>
            </w:r>
          </w:p>
        </w:tc>
        <w:tc>
          <w:tcPr>
            <w:tcW w:w="2970" w:type="dxa"/>
          </w:tcPr>
          <w:p w:rsidR="00974902" w:rsidRPr="0023582C" w:rsidRDefault="003364A2">
            <w:pPr>
              <w:spacing w:line="336" w:lineRule="auto"/>
              <w:jc w:val="center"/>
              <w:rPr>
                <w:rFonts w:ascii="Century Gothic" w:hAnsi="Century Gothic"/>
                <w:sz w:val="20"/>
                <w:szCs w:val="20"/>
              </w:rPr>
            </w:pPr>
            <w:r>
              <w:rPr>
                <w:rFonts w:ascii="Century Gothic" w:hAnsi="Century Gothic"/>
                <w:sz w:val="20"/>
                <w:szCs w:val="20"/>
              </w:rPr>
              <w:t>May 5</w:t>
            </w:r>
            <w:r w:rsidR="00AF24A7" w:rsidRPr="0023582C">
              <w:rPr>
                <w:rFonts w:ascii="Century Gothic" w:hAnsi="Century Gothic"/>
                <w:sz w:val="20"/>
                <w:szCs w:val="20"/>
              </w:rPr>
              <w:t>, 2017</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Written requests for clarification from Respondents about the ITN are due to the Board</w:t>
            </w:r>
          </w:p>
        </w:tc>
        <w:tc>
          <w:tcPr>
            <w:tcW w:w="2970" w:type="dxa"/>
          </w:tcPr>
          <w:p w:rsidR="00974902" w:rsidRPr="0023582C" w:rsidRDefault="003364A2">
            <w:pPr>
              <w:spacing w:line="336" w:lineRule="auto"/>
              <w:jc w:val="center"/>
              <w:rPr>
                <w:rFonts w:ascii="Century Gothic" w:hAnsi="Century Gothic"/>
                <w:sz w:val="20"/>
                <w:szCs w:val="20"/>
              </w:rPr>
            </w:pPr>
            <w:r>
              <w:rPr>
                <w:rFonts w:ascii="Century Gothic" w:hAnsi="Century Gothic"/>
                <w:sz w:val="20"/>
                <w:szCs w:val="20"/>
              </w:rPr>
              <w:t>May 12</w:t>
            </w:r>
            <w:r w:rsidR="00AF24A7" w:rsidRPr="0023582C">
              <w:rPr>
                <w:rFonts w:ascii="Century Gothic" w:hAnsi="Century Gothic"/>
                <w:sz w:val="20"/>
                <w:szCs w:val="20"/>
              </w:rPr>
              <w:t>, 2017</w:t>
            </w:r>
            <w:r w:rsidR="00AF24A7" w:rsidRPr="0023582C">
              <w:rPr>
                <w:rFonts w:ascii="Century Gothic" w:hAnsi="Century Gothic"/>
                <w:sz w:val="20"/>
                <w:szCs w:val="20"/>
              </w:rPr>
              <w:br/>
              <w:t>12:00PM ET</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The Board responds to written requests for clarification about the ITN on the Vendor Bid System (VBS)</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 xml:space="preserve">May </w:t>
            </w:r>
            <w:r w:rsidR="003364A2">
              <w:rPr>
                <w:rFonts w:ascii="Century Gothic" w:hAnsi="Century Gothic"/>
                <w:sz w:val="20"/>
                <w:szCs w:val="20"/>
              </w:rPr>
              <w:t>19</w:t>
            </w:r>
            <w:r w:rsidRPr="0023582C">
              <w:rPr>
                <w:rFonts w:ascii="Century Gothic" w:hAnsi="Century Gothic"/>
                <w:sz w:val="20"/>
                <w:szCs w:val="20"/>
              </w:rPr>
              <w:t>, 2017</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Deadline for written responses to the ITN</w:t>
            </w:r>
          </w:p>
        </w:tc>
        <w:tc>
          <w:tcPr>
            <w:tcW w:w="2970" w:type="dxa"/>
          </w:tcPr>
          <w:p w:rsidR="00974902" w:rsidRPr="0023582C" w:rsidRDefault="003364A2">
            <w:pPr>
              <w:spacing w:line="336" w:lineRule="auto"/>
              <w:jc w:val="center"/>
              <w:rPr>
                <w:rFonts w:ascii="Century Gothic" w:hAnsi="Century Gothic"/>
                <w:sz w:val="20"/>
                <w:szCs w:val="20"/>
              </w:rPr>
            </w:pPr>
            <w:r>
              <w:rPr>
                <w:rFonts w:ascii="Century Gothic" w:hAnsi="Century Gothic"/>
                <w:sz w:val="20"/>
                <w:szCs w:val="20"/>
              </w:rPr>
              <w:t>June 1</w:t>
            </w:r>
            <w:r w:rsidR="00AF24A7" w:rsidRPr="0023582C">
              <w:rPr>
                <w:rFonts w:ascii="Century Gothic" w:hAnsi="Century Gothic"/>
                <w:sz w:val="20"/>
                <w:szCs w:val="20"/>
              </w:rPr>
              <w:t>, 2017</w:t>
            </w:r>
            <w:r w:rsidR="00AF24A7" w:rsidRPr="0023582C">
              <w:rPr>
                <w:rFonts w:ascii="Century Gothic" w:hAnsi="Century Gothic"/>
                <w:sz w:val="20"/>
                <w:szCs w:val="20"/>
              </w:rPr>
              <w:br/>
              <w:t>12:00PM ET</w:t>
            </w:r>
          </w:p>
        </w:tc>
        <w:tc>
          <w:tcPr>
            <w:tcW w:w="3150" w:type="dxa"/>
          </w:tcPr>
          <w:p w:rsidR="00974902" w:rsidRDefault="00AF24A7">
            <w:pPr>
              <w:spacing w:line="336" w:lineRule="auto"/>
              <w:jc w:val="center"/>
              <w:rPr>
                <w:rFonts w:ascii="Century Gothic" w:hAnsi="Century Gothic"/>
                <w:sz w:val="20"/>
                <w:szCs w:val="20"/>
              </w:rPr>
            </w:pPr>
            <w:r>
              <w:rPr>
                <w:rFonts w:ascii="Century Gothic" w:hAnsi="Century Gothic"/>
                <w:sz w:val="20"/>
                <w:szCs w:val="20"/>
              </w:rPr>
              <w:t>1801 Hermitage Boulevard</w:t>
            </w:r>
            <w:r>
              <w:rPr>
                <w:rFonts w:ascii="Century Gothic" w:hAnsi="Century Gothic"/>
                <w:sz w:val="20"/>
                <w:szCs w:val="20"/>
              </w:rPr>
              <w:br/>
              <w:t>Suite 210</w:t>
            </w:r>
            <w:r>
              <w:rPr>
                <w:rFonts w:ascii="Century Gothic" w:hAnsi="Century Gothic"/>
                <w:sz w:val="20"/>
                <w:szCs w:val="20"/>
              </w:rPr>
              <w:br/>
              <w:t>Tallahassee, FL 32308</w:t>
            </w: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*All responses publicly opened at The Board headquarters</w:t>
            </w:r>
          </w:p>
        </w:tc>
        <w:tc>
          <w:tcPr>
            <w:tcW w:w="2970" w:type="dxa"/>
          </w:tcPr>
          <w:p w:rsidR="00974902" w:rsidRPr="0023582C" w:rsidRDefault="003364A2">
            <w:pPr>
              <w:spacing w:line="336" w:lineRule="auto"/>
              <w:jc w:val="center"/>
              <w:rPr>
                <w:rFonts w:ascii="Century Gothic" w:hAnsi="Century Gothic"/>
                <w:sz w:val="20"/>
                <w:szCs w:val="20"/>
              </w:rPr>
            </w:pPr>
            <w:r>
              <w:rPr>
                <w:rFonts w:ascii="Century Gothic" w:hAnsi="Century Gothic"/>
                <w:sz w:val="20"/>
                <w:szCs w:val="20"/>
              </w:rPr>
              <w:t>June 1</w:t>
            </w:r>
            <w:r w:rsidR="00AF24A7" w:rsidRPr="0023582C">
              <w:rPr>
                <w:rFonts w:ascii="Century Gothic" w:hAnsi="Century Gothic"/>
                <w:sz w:val="20"/>
                <w:szCs w:val="20"/>
              </w:rPr>
              <w:t>, 2017</w:t>
            </w:r>
            <w:r w:rsidR="00AF24A7" w:rsidRPr="0023582C">
              <w:rPr>
                <w:rFonts w:ascii="Century Gothic" w:hAnsi="Century Gothic"/>
                <w:sz w:val="20"/>
                <w:szCs w:val="20"/>
              </w:rPr>
              <w:br/>
              <w:t>1:00PM ET</w:t>
            </w:r>
          </w:p>
        </w:tc>
        <w:tc>
          <w:tcPr>
            <w:tcW w:w="3150" w:type="dxa"/>
          </w:tcPr>
          <w:p w:rsidR="00974902" w:rsidRDefault="00AF24A7">
            <w:pPr>
              <w:spacing w:line="336" w:lineRule="auto"/>
              <w:jc w:val="center"/>
              <w:rPr>
                <w:rFonts w:ascii="Century Gothic" w:hAnsi="Century Gothic"/>
                <w:sz w:val="20"/>
                <w:szCs w:val="20"/>
              </w:rPr>
            </w:pPr>
            <w:r>
              <w:rPr>
                <w:rFonts w:ascii="Century Gothic" w:hAnsi="Century Gothic"/>
                <w:sz w:val="20"/>
                <w:szCs w:val="20"/>
              </w:rPr>
              <w:t>1801 Hermitage Boulevard</w:t>
            </w:r>
            <w:r>
              <w:rPr>
                <w:rFonts w:ascii="Century Gothic" w:hAnsi="Century Gothic"/>
                <w:sz w:val="20"/>
                <w:szCs w:val="20"/>
              </w:rPr>
              <w:br/>
              <w:t>Tallahassee, FL 32308</w:t>
            </w: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*Meeting for Validation of Evaluator Scoring at the Board headquarters</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June 2017</w:t>
            </w:r>
          </w:p>
        </w:tc>
        <w:tc>
          <w:tcPr>
            <w:tcW w:w="3150" w:type="dxa"/>
          </w:tcPr>
          <w:p w:rsidR="00974902" w:rsidRDefault="00AF24A7">
            <w:pPr>
              <w:spacing w:line="336" w:lineRule="auto"/>
              <w:jc w:val="center"/>
              <w:rPr>
                <w:rFonts w:ascii="Century Gothic" w:hAnsi="Century Gothic"/>
                <w:sz w:val="20"/>
                <w:szCs w:val="20"/>
              </w:rPr>
            </w:pPr>
            <w:r>
              <w:rPr>
                <w:rFonts w:ascii="Century Gothic" w:hAnsi="Century Gothic"/>
                <w:sz w:val="20"/>
                <w:szCs w:val="20"/>
              </w:rPr>
              <w:t>1801 Hermitage Boulevard</w:t>
            </w:r>
            <w:r>
              <w:rPr>
                <w:rFonts w:ascii="Century Gothic" w:hAnsi="Century Gothic"/>
                <w:sz w:val="20"/>
                <w:szCs w:val="20"/>
              </w:rPr>
              <w:br/>
              <w:t>Tallahassee, FL 32308</w:t>
            </w: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Negotiation Period</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June-July 2017</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*Meeting to recommend contract award(s) at the Board headquarters</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July 2017</w:t>
            </w:r>
          </w:p>
        </w:tc>
        <w:tc>
          <w:tcPr>
            <w:tcW w:w="3150" w:type="dxa"/>
          </w:tcPr>
          <w:p w:rsidR="00974902" w:rsidRDefault="00AF24A7">
            <w:pPr>
              <w:spacing w:line="336" w:lineRule="auto"/>
              <w:jc w:val="center"/>
              <w:rPr>
                <w:rFonts w:ascii="Century Gothic" w:hAnsi="Century Gothic"/>
                <w:sz w:val="20"/>
                <w:szCs w:val="20"/>
              </w:rPr>
            </w:pPr>
            <w:r>
              <w:rPr>
                <w:rFonts w:ascii="Century Gothic" w:hAnsi="Century Gothic"/>
                <w:sz w:val="20"/>
                <w:szCs w:val="20"/>
              </w:rPr>
              <w:t>1801 Hermitage Boulevard</w:t>
            </w:r>
            <w:r>
              <w:rPr>
                <w:rFonts w:ascii="Century Gothic" w:hAnsi="Century Gothic"/>
                <w:sz w:val="20"/>
                <w:szCs w:val="20"/>
              </w:rPr>
              <w:br/>
              <w:t>Tallahassee, FL 32308</w:t>
            </w: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Notice of intent to award</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June-July 2017</w:t>
            </w:r>
          </w:p>
        </w:tc>
        <w:tc>
          <w:tcPr>
            <w:tcW w:w="3150" w:type="dxa"/>
          </w:tcPr>
          <w:p w:rsidR="00974902" w:rsidRDefault="00974902">
            <w:pPr>
              <w:spacing w:line="336" w:lineRule="auto"/>
              <w:jc w:val="center"/>
              <w:rPr>
                <w:rFonts w:ascii="Century Gothic" w:hAnsi="Century Gothic"/>
                <w:sz w:val="20"/>
                <w:szCs w:val="20"/>
              </w:rPr>
            </w:pPr>
          </w:p>
        </w:tc>
      </w:tr>
      <w:tr w:rsidR="00974902">
        <w:tc>
          <w:tcPr>
            <w:tcW w:w="4140" w:type="dxa"/>
          </w:tcPr>
          <w:p w:rsidR="00974902" w:rsidRDefault="00AF24A7">
            <w:pPr>
              <w:spacing w:line="336" w:lineRule="auto"/>
              <w:jc w:val="both"/>
              <w:rPr>
                <w:rFonts w:ascii="Century Gothic" w:hAnsi="Century Gothic"/>
                <w:sz w:val="20"/>
                <w:szCs w:val="20"/>
              </w:rPr>
            </w:pPr>
            <w:r>
              <w:rPr>
                <w:rFonts w:ascii="Century Gothic" w:hAnsi="Century Gothic"/>
                <w:sz w:val="20"/>
                <w:szCs w:val="20"/>
              </w:rPr>
              <w:t>Anticipated contract date</w:t>
            </w:r>
          </w:p>
        </w:tc>
        <w:tc>
          <w:tcPr>
            <w:tcW w:w="2970" w:type="dxa"/>
          </w:tcPr>
          <w:p w:rsidR="00974902" w:rsidRPr="0023582C" w:rsidRDefault="00AF24A7">
            <w:pPr>
              <w:spacing w:line="336" w:lineRule="auto"/>
              <w:jc w:val="center"/>
              <w:rPr>
                <w:rFonts w:ascii="Century Gothic" w:hAnsi="Century Gothic"/>
                <w:sz w:val="20"/>
                <w:szCs w:val="20"/>
              </w:rPr>
            </w:pPr>
            <w:r w:rsidRPr="0023582C">
              <w:rPr>
                <w:rFonts w:ascii="Century Gothic" w:hAnsi="Century Gothic"/>
                <w:sz w:val="20"/>
                <w:szCs w:val="20"/>
              </w:rPr>
              <w:t>July 2017</w:t>
            </w:r>
          </w:p>
        </w:tc>
        <w:tc>
          <w:tcPr>
            <w:tcW w:w="3150" w:type="dxa"/>
          </w:tcPr>
          <w:p w:rsidR="00974902" w:rsidRDefault="00974902">
            <w:pPr>
              <w:spacing w:line="336" w:lineRule="auto"/>
              <w:jc w:val="center"/>
              <w:rPr>
                <w:rFonts w:ascii="Century Gothic" w:hAnsi="Century Gothic"/>
                <w:sz w:val="20"/>
                <w:szCs w:val="20"/>
              </w:rPr>
            </w:pPr>
          </w:p>
        </w:tc>
      </w:tr>
    </w:tbl>
    <w:p w:rsidR="00974902" w:rsidRDefault="00AF24A7">
      <w:pPr>
        <w:pStyle w:val="BAS-Normal0"/>
      </w:pPr>
      <w:r>
        <w:t xml:space="preserve">*All Respondents are hereby notified that the events noted with an asterisk above (*) are public meetings open to the public and may be electronically recorded by any member of the audience. All public meetings will be published in the Florida Administrative Register. </w:t>
      </w:r>
    </w:p>
    <w:p w:rsidR="00974902" w:rsidRDefault="00AF24A7">
      <w:pPr>
        <w:rPr>
          <w:rFonts w:ascii="Century Gothic" w:hAnsi="Century Gothic"/>
          <w:b/>
          <w:smallCaps/>
          <w:szCs w:val="24"/>
        </w:rPr>
      </w:pPr>
      <w:r>
        <w:br w:type="page"/>
      </w:r>
    </w:p>
    <w:p w:rsidR="00974902" w:rsidRDefault="00AF24A7">
      <w:pPr>
        <w:pStyle w:val="BAS-Heading1"/>
      </w:pPr>
      <w:bookmarkStart w:id="32" w:name="_Toc422293214"/>
      <w:bookmarkStart w:id="33" w:name="_Toc481766532"/>
      <w:r>
        <w:lastRenderedPageBreak/>
        <w:t>Mandatory Requirements</w:t>
      </w:r>
      <w:bookmarkEnd w:id="32"/>
      <w:bookmarkEnd w:id="33"/>
    </w:p>
    <w:p w:rsidR="00974902" w:rsidRDefault="00AF24A7">
      <w:pPr>
        <w:pStyle w:val="BAS-Heading2"/>
      </w:pPr>
      <w:bookmarkStart w:id="34" w:name="_Toc422293215"/>
      <w:bookmarkStart w:id="35" w:name="_Toc481766533"/>
      <w:r>
        <w:t>Requests for Clarification</w:t>
      </w:r>
      <w:bookmarkEnd w:id="34"/>
      <w:bookmarkEnd w:id="35"/>
    </w:p>
    <w:p w:rsidR="00974902" w:rsidRDefault="00AF24A7">
      <w:pPr>
        <w:pStyle w:val="BAS-Normal0"/>
      </w:pPr>
      <w:r>
        <w:t>Any questions concerning the conditions and/or specifications of this ITN must be addressed in the form of written questions submitted by Respondents pursuant to the schedule in Section 4.0 and u</w:t>
      </w:r>
      <w:r w:rsidR="003364A2">
        <w:t xml:space="preserve">sing the form provided as page </w:t>
      </w:r>
      <w:r w:rsidRPr="003364A2">
        <w:t>i</w:t>
      </w:r>
      <w:r>
        <w:t xml:space="preserve"> of this document. Written questions must be legible, to the point, and identify the Respondent submitting the question. Written questions must be submitted to:</w:t>
      </w:r>
    </w:p>
    <w:p w:rsidR="00974902" w:rsidRDefault="00974902">
      <w:pPr>
        <w:pStyle w:val="BAS-Normal0"/>
      </w:pPr>
    </w:p>
    <w:p w:rsidR="00974902" w:rsidRDefault="00AF24A7">
      <w:pPr>
        <w:pStyle w:val="BAS-Normal0"/>
      </w:pPr>
      <w:r>
        <w:t>Jeff Smithson</w:t>
      </w:r>
    </w:p>
    <w:p w:rsidR="00974902" w:rsidRDefault="00AF24A7">
      <w:pPr>
        <w:pStyle w:val="BAS-Normal0"/>
      </w:pPr>
      <w:r>
        <w:t>ITN Administrator</w:t>
      </w:r>
    </w:p>
    <w:p w:rsidR="00974902" w:rsidRDefault="00AF24A7">
      <w:pPr>
        <w:pStyle w:val="BAS-Normal0"/>
      </w:pPr>
      <w:r>
        <w:t>Florida Prepaid College Board</w:t>
      </w:r>
    </w:p>
    <w:p w:rsidR="00974902" w:rsidRDefault="00AF24A7">
      <w:pPr>
        <w:pStyle w:val="BAS-Normal0"/>
      </w:pPr>
      <w:r>
        <w:t>Email: ITNinfo.Prepaid@MyFloridaPrepaid.com</w:t>
      </w:r>
    </w:p>
    <w:p w:rsidR="00974902" w:rsidRDefault="00974902">
      <w:pPr>
        <w:pStyle w:val="BAS-Normal0"/>
      </w:pPr>
    </w:p>
    <w:p w:rsidR="00974902" w:rsidRDefault="00AF24A7">
      <w:pPr>
        <w:pStyle w:val="BAS-Normal0"/>
      </w:pPr>
      <w:r>
        <w:t>Written requests for clarification, along with corresponding responses, will be posted as Official Notice pursuant to Section 3.1 of this document. Respondents unable to download responses should notify the ITN Administrator at the email address provided above.</w:t>
      </w:r>
    </w:p>
    <w:p w:rsidR="00974902" w:rsidRDefault="00974902">
      <w:pPr>
        <w:pStyle w:val="BAS-Normal0"/>
      </w:pPr>
    </w:p>
    <w:p w:rsidR="00974902" w:rsidRDefault="00AF24A7">
      <w:pPr>
        <w:pStyle w:val="BAS-Normal0"/>
      </w:pPr>
      <w:r>
        <w:t>No interpretations other than those responded to as described in this section will be considered binding. The Board does not guarantee the validity or reliability of information obtained from other sources.</w:t>
      </w:r>
    </w:p>
    <w:p w:rsidR="00974902" w:rsidRDefault="00974902">
      <w:pPr>
        <w:pStyle w:val="BAS-Normal0"/>
      </w:pPr>
    </w:p>
    <w:p w:rsidR="00974902" w:rsidRDefault="00AF24A7">
      <w:pPr>
        <w:pStyle w:val="BAS-Heading2"/>
      </w:pPr>
      <w:bookmarkStart w:id="36" w:name="_Toc422293202"/>
      <w:bookmarkStart w:id="37" w:name="_Toc422293216"/>
      <w:bookmarkStart w:id="38" w:name="_Toc481766534"/>
      <w:r>
        <w:t>Mandatory Qualifications</w:t>
      </w:r>
      <w:bookmarkEnd w:id="36"/>
      <w:bookmarkEnd w:id="38"/>
    </w:p>
    <w:p w:rsidR="00974902" w:rsidRDefault="00AF24A7">
      <w:pPr>
        <w:pStyle w:val="BAS-Normal0"/>
      </w:pPr>
      <w:r>
        <w:t>Respondents must be able to affirmatively respond to the following statement in order to be considered for this award.</w:t>
      </w:r>
    </w:p>
    <w:p w:rsidR="00974902" w:rsidRDefault="00974902">
      <w:pPr>
        <w:pStyle w:val="BAS-Normal0"/>
      </w:pPr>
    </w:p>
    <w:p w:rsidR="00974902" w:rsidRDefault="00AF24A7">
      <w:pPr>
        <w:pStyle w:val="BAS-Normal0"/>
        <w:numPr>
          <w:ilvl w:val="0"/>
          <w:numId w:val="5"/>
        </w:numPr>
        <w:ind w:left="810" w:hanging="810"/>
      </w:pPr>
      <w:r>
        <w:t>As of December 31, 2016, the Respondent has greater than $500 billion in discretionary assets under management at the firm level.</w:t>
      </w:r>
    </w:p>
    <w:p w:rsidR="00974902" w:rsidRDefault="00974902">
      <w:pPr>
        <w:pStyle w:val="BAS-Normal0"/>
      </w:pPr>
    </w:p>
    <w:p w:rsidR="00974902" w:rsidRDefault="00AF24A7">
      <w:pPr>
        <w:pStyle w:val="BAS-Normal0"/>
      </w:pPr>
      <w:r>
        <w:t xml:space="preserve">Further, to be considered, each Response </w:t>
      </w:r>
      <w:r w:rsidRPr="00042E27">
        <w:rPr>
          <w:b/>
        </w:rPr>
        <w:t>must meet</w:t>
      </w:r>
      <w:r>
        <w:t xml:space="preserve"> the standards and requirements set forth in Section 5.0 Mandatory Requirements. </w:t>
      </w:r>
    </w:p>
    <w:p w:rsidR="006A700B" w:rsidRDefault="006A700B">
      <w:pPr>
        <w:pStyle w:val="BAS-Normal0"/>
      </w:pPr>
    </w:p>
    <w:p w:rsidR="00974902" w:rsidRDefault="00AF24A7">
      <w:pPr>
        <w:pStyle w:val="BAS-Normal0"/>
      </w:pPr>
      <w:r>
        <w:t>Any Respondent that does not satisfy all of the criteria in this section shall be rejected.</w:t>
      </w:r>
    </w:p>
    <w:p w:rsidR="00974902" w:rsidRDefault="00974902">
      <w:pPr>
        <w:rPr>
          <w:rFonts w:ascii="Century Gothic" w:hAnsi="Century Gothic"/>
          <w:sz w:val="24"/>
          <w:szCs w:val="24"/>
        </w:rPr>
      </w:pPr>
    </w:p>
    <w:p w:rsidR="00974902" w:rsidRDefault="00AF24A7">
      <w:pPr>
        <w:pStyle w:val="BAS-Heading2"/>
      </w:pPr>
      <w:bookmarkStart w:id="39" w:name="_Toc481766535"/>
      <w:r>
        <w:t>Submission of Responses</w:t>
      </w:r>
      <w:bookmarkEnd w:id="37"/>
      <w:bookmarkEnd w:id="39"/>
    </w:p>
    <w:p w:rsidR="00974902" w:rsidRDefault="00AF24A7">
      <w:pPr>
        <w:pStyle w:val="BAS-Normal0"/>
      </w:pPr>
      <w:r>
        <w:t xml:space="preserve">All Responses must be executed and submitted in a sealed package. The face of the package must contain the number of the ITN to which the Response applies and the date and time of the Response opening (see Section 4.0). All Responses are subject to the conditions specified in this ITN; Responses which do not comply with these conditions may be rejected subject to the reservation of rights by the Board as specified in Section 6.1. </w:t>
      </w:r>
    </w:p>
    <w:p w:rsidR="00974902" w:rsidRDefault="00974902">
      <w:pPr>
        <w:pStyle w:val="BAS-Normal0"/>
      </w:pPr>
    </w:p>
    <w:p w:rsidR="00974902" w:rsidRDefault="00AF24A7">
      <w:pPr>
        <w:pStyle w:val="BAS-Normal0"/>
      </w:pPr>
      <w:r>
        <w:t xml:space="preserve">Respondents shall deliver one (1) complete hard copy </w:t>
      </w:r>
      <w:r>
        <w:rPr>
          <w:u w:val="single"/>
        </w:rPr>
        <w:t>AND</w:t>
      </w:r>
      <w:r>
        <w:t xml:space="preserve"> four (4) complete electronic copies of their entire Response on four (4) USB hard drives – one copy per drive. All documents and materials provided in response to this solicitation must be included on the drive. Respondents shall not refer to web-based materials or locations. Notwithstanding, web-links that may be provided within a statutory prospectus which a Respondent provides on the drive and/or in hard copy will not be considered a violation of this </w:t>
      </w:r>
      <w:r>
        <w:lastRenderedPageBreak/>
        <w:t xml:space="preserve">requirement. All electronic files must be in one of the following formats. Alternate file types, including web-based materials, will not be considered. </w:t>
      </w:r>
    </w:p>
    <w:p w:rsidR="00974902" w:rsidRDefault="00974902">
      <w:pPr>
        <w:pStyle w:val="BAS-Normal0"/>
      </w:pPr>
    </w:p>
    <w:p w:rsidR="00974902" w:rsidRDefault="00AF24A7">
      <w:pPr>
        <w:pStyle w:val="BAS-Normal0"/>
      </w:pPr>
      <w:r>
        <w:t xml:space="preserve">Documents – PDF or any Microsoft Office Suite files are the required file types for all documents. </w:t>
      </w:r>
    </w:p>
    <w:p w:rsidR="00974902" w:rsidRDefault="00974902">
      <w:pPr>
        <w:pStyle w:val="BAS-Normal0"/>
      </w:pPr>
    </w:p>
    <w:p w:rsidR="00974902" w:rsidRDefault="00AF24A7">
      <w:pPr>
        <w:pStyle w:val="BAS-Normal0"/>
      </w:pPr>
      <w:r>
        <w:t>Images – JPG or PNG are the required file types for images.</w:t>
      </w:r>
    </w:p>
    <w:p w:rsidR="00974902" w:rsidRDefault="00974902">
      <w:pPr>
        <w:pStyle w:val="BAS-Normal0"/>
      </w:pPr>
    </w:p>
    <w:p w:rsidR="00974902" w:rsidRDefault="00AF24A7">
      <w:pPr>
        <w:pStyle w:val="BAS-Normal0"/>
      </w:pPr>
      <w:r>
        <w:t>Video – MP4 or MOV are the required file types for videos.</w:t>
      </w:r>
    </w:p>
    <w:p w:rsidR="00974902" w:rsidRDefault="00974902">
      <w:pPr>
        <w:pStyle w:val="BAS-Normal0"/>
      </w:pPr>
    </w:p>
    <w:p w:rsidR="00974902" w:rsidRDefault="00AF24A7">
      <w:pPr>
        <w:pStyle w:val="BAS-Normal0"/>
      </w:pPr>
      <w:r>
        <w:t>Audio – MP3 is the required file type for audio.</w:t>
      </w:r>
    </w:p>
    <w:p w:rsidR="00974902" w:rsidRDefault="00974902">
      <w:pPr>
        <w:pStyle w:val="BAS-Normal0"/>
      </w:pPr>
    </w:p>
    <w:p w:rsidR="00974902" w:rsidRDefault="00AF24A7">
      <w:pPr>
        <w:pStyle w:val="BAS-Normal0"/>
      </w:pPr>
      <w:r>
        <w:t xml:space="preserve">The Respondent is responsible for the timely and proper delivery of its Response to the Board. Responses which, for any reason, are not delivered and received in the Board offices by the deadline established in Section 4.0 of this ITN will not be considered. Late Responses will be retained in the Board offices. Responses or offers by facsimile, telephone or email are not acceptable. </w:t>
      </w:r>
    </w:p>
    <w:p w:rsidR="00974902" w:rsidRDefault="00974902">
      <w:pPr>
        <w:pStyle w:val="BAS-Normal0"/>
      </w:pPr>
    </w:p>
    <w:p w:rsidR="00974902" w:rsidRDefault="00AF24A7">
      <w:pPr>
        <w:pStyle w:val="BAS-Normal0"/>
      </w:pPr>
      <w:r>
        <w:t>A Response may not be altered after it is delivered to the Board. At its discretion, the Board may request supplemental Responses from the Respondents; all other supplemental Responses are prohibited.</w:t>
      </w:r>
    </w:p>
    <w:p w:rsidR="00974902" w:rsidRDefault="00974902">
      <w:pPr>
        <w:pStyle w:val="BAS-Normal0"/>
      </w:pPr>
    </w:p>
    <w:p w:rsidR="00974902" w:rsidRDefault="00AF24A7">
      <w:pPr>
        <w:pStyle w:val="BAS-Heading2"/>
      </w:pPr>
      <w:bookmarkStart w:id="40" w:name="_Toc422293217"/>
      <w:bookmarkStart w:id="41" w:name="_Toc481766536"/>
      <w:r>
        <w:t>Response Format and Content</w:t>
      </w:r>
      <w:bookmarkEnd w:id="40"/>
      <w:bookmarkEnd w:id="41"/>
    </w:p>
    <w:p w:rsidR="00974902" w:rsidRDefault="00AF24A7">
      <w:pPr>
        <w:pStyle w:val="BAS-Normal0"/>
      </w:pPr>
      <w:r>
        <w:t>The Board has established certain mandatory requirements which must be included in a Response to this ITN. The use of “shall”, “must”, or “will” (except to indicate simple futurity) in this ITN indicates a mandatory requirement or condition. The words "should" or "may" in this ITN indicate desirable attributes or conditions, but are permissive in nature. Deviation from, or omission of, such a desirable attribute will not by itself cause rejection of a proposal. Only those Respondents who have met the mandatory requirements of this ITN will be considered; any Respondent who has not done so will be rejected. The right is reserved to reject any or all bids. Failure to meet any contractual obligations may result in cancellation of any award.</w:t>
      </w:r>
    </w:p>
    <w:p w:rsidR="00974902" w:rsidRDefault="00974902">
      <w:pPr>
        <w:pStyle w:val="BAS-Normal0"/>
      </w:pPr>
    </w:p>
    <w:p w:rsidR="00974902" w:rsidRDefault="00AF24A7">
      <w:pPr>
        <w:pStyle w:val="BAS-Normal0"/>
      </w:pPr>
      <w:r>
        <w:t>Each Response shall be prepared simply and economically providing a straightforward, concise delineation of the Respondent’s capabilities to satisfy the requirements of this ITN. Fancy bindings and promotional material are not desired nor expected.</w:t>
      </w:r>
    </w:p>
    <w:p w:rsidR="00974902" w:rsidRDefault="00974902">
      <w:pPr>
        <w:pStyle w:val="BAS-Normal0"/>
      </w:pPr>
    </w:p>
    <w:p w:rsidR="00974902" w:rsidRDefault="00AF24A7">
      <w:pPr>
        <w:pStyle w:val="BAS-Normal0"/>
      </w:pPr>
      <w:r>
        <w:t xml:space="preserve">A Response must be complete as to all terms and conditions, including the appendices, on the date it is delivered to the Board. Additional information submitted after the Response or separate from the Response will not be considered unless specifically requested by the Board and then only to the extent requested. Incomplete Responses may be eliminated from further consideration. </w:t>
      </w:r>
    </w:p>
    <w:p w:rsidR="00974902" w:rsidRDefault="00974902">
      <w:pPr>
        <w:pStyle w:val="BAS-Normal0"/>
      </w:pPr>
    </w:p>
    <w:p w:rsidR="00974902" w:rsidRDefault="00AF24A7">
      <w:pPr>
        <w:pStyle w:val="BAS-Normal0"/>
      </w:pPr>
      <w:r>
        <w:t xml:space="preserve">In its Response, a Respondent shall expressly indicate its willingness to comply with, provide satisfactory evidence of its ability to meet and expressly respond to each requirement and information request contained in the following mandatory provision(s) of this ITN. </w:t>
      </w:r>
    </w:p>
    <w:p w:rsidR="00974902" w:rsidRDefault="00974902">
      <w:pPr>
        <w:pStyle w:val="BAS-Normal0"/>
      </w:pPr>
    </w:p>
    <w:p w:rsidR="00974902" w:rsidRDefault="00AF24A7">
      <w:pPr>
        <w:pStyle w:val="BAS-Normal0"/>
      </w:pPr>
      <w:r>
        <w:t>A copy of this ITN in Microsoft Word format may be downloaded from:</w:t>
      </w:r>
      <w:r>
        <w:tab/>
        <w:t xml:space="preserve"> </w:t>
      </w:r>
      <w:hyperlink r:id="rId14" w:history="1">
        <w:r>
          <w:rPr>
            <w:rStyle w:val="Hyperlink"/>
          </w:rPr>
          <w:t>www.myfloridaprepaid.com/who-we-are/about-the-board/board-reports-and-plans/</w:t>
        </w:r>
      </w:hyperlink>
      <w:r>
        <w:t>.</w:t>
      </w:r>
    </w:p>
    <w:p w:rsidR="00974902" w:rsidRDefault="00AF24A7">
      <w:pPr>
        <w:pStyle w:val="BAS-Heading3"/>
      </w:pPr>
      <w:bookmarkStart w:id="42" w:name="_Toc481766537"/>
      <w:r>
        <w:lastRenderedPageBreak/>
        <w:t>[REQUIRED] Invitation to Negotiate Response Form</w:t>
      </w:r>
      <w:bookmarkEnd w:id="42"/>
    </w:p>
    <w:p w:rsidR="00974902" w:rsidRDefault="00AF24A7">
      <w:pPr>
        <w:pStyle w:val="BAS-Normal0"/>
      </w:pPr>
      <w:r>
        <w:t>The Invitation to Negotiate Response form, included as page i</w:t>
      </w:r>
      <w:r w:rsidR="00B46146">
        <w:t>ii</w:t>
      </w:r>
      <w:r>
        <w:t xml:space="preserve"> of this document, must be completed in its entirety, including providing the required documents as requested in the form. The form must be signed by an officer or agent of the Respondent who is empowered to bind it in a contract. If an agent signs, written authorization empowering the agent to bind the Respondent must accompany the documents signed by the agent. </w:t>
      </w:r>
    </w:p>
    <w:p w:rsidR="00974902" w:rsidRDefault="00AF24A7">
      <w:pPr>
        <w:pStyle w:val="BAS-Normal0"/>
      </w:pPr>
      <w:r>
        <w:rPr>
          <w:highlight w:val="yellow"/>
        </w:rPr>
        <w:t xml:space="preserve">      </w:t>
      </w:r>
    </w:p>
    <w:p w:rsidR="00974902" w:rsidRDefault="00AF24A7">
      <w:pPr>
        <w:pStyle w:val="BAS-Heading3"/>
      </w:pPr>
      <w:bookmarkStart w:id="43" w:name="_Toc481766538"/>
      <w:r>
        <w:t>[REQUIRED] Attachment 1: Statutory Prospectus and/or Participation Agreement Documents for Proposed Replication Strategies</w:t>
      </w:r>
      <w:bookmarkEnd w:id="43"/>
    </w:p>
    <w:p w:rsidR="00974902" w:rsidRDefault="00AF24A7">
      <w:pPr>
        <w:pStyle w:val="BAS-Normal0"/>
      </w:pPr>
      <w:r>
        <w:t xml:space="preserve">The Respondent shall provide no more than one (1) complete statutory prospectus and/or participation agreement for each of the following replication strategies. The information provided for any one strategy shall represent investment vehicles for which the Prepaid and/or Savings plan qualify. During the Evaluation Phase of this solicitation, the Respondent will be evaluated, in part, based on the materials provided for the mandates below; additional replication strategies may be considered during the Negotiation Phase. </w:t>
      </w:r>
    </w:p>
    <w:p w:rsidR="00974902" w:rsidRDefault="00AF24A7">
      <w:pPr>
        <w:pStyle w:val="BAS-Normal0"/>
        <w:numPr>
          <w:ilvl w:val="0"/>
          <w:numId w:val="6"/>
        </w:numPr>
        <w:spacing w:before="120" w:after="120"/>
        <w:ind w:left="806" w:hanging="806"/>
      </w:pPr>
      <w:r>
        <w:t>Large Cap Value (Russell 1000 Value)</w:t>
      </w:r>
    </w:p>
    <w:p w:rsidR="00974902" w:rsidRDefault="00AF24A7">
      <w:pPr>
        <w:pStyle w:val="BAS-Normal0"/>
        <w:numPr>
          <w:ilvl w:val="0"/>
          <w:numId w:val="6"/>
        </w:numPr>
        <w:spacing w:before="120" w:after="120"/>
        <w:ind w:left="806" w:hanging="806"/>
      </w:pPr>
      <w:r>
        <w:t>Large Cap Growth (Russell 1000 Growth)</w:t>
      </w:r>
    </w:p>
    <w:p w:rsidR="00974902" w:rsidRDefault="00AF24A7">
      <w:pPr>
        <w:pStyle w:val="BAS-Normal0"/>
        <w:numPr>
          <w:ilvl w:val="0"/>
          <w:numId w:val="6"/>
        </w:numPr>
        <w:spacing w:before="120" w:after="120"/>
        <w:ind w:left="806" w:hanging="806"/>
      </w:pPr>
      <w:r>
        <w:t>Large Cap Core (Russell 1000)</w:t>
      </w:r>
    </w:p>
    <w:p w:rsidR="00974902" w:rsidRDefault="00AF24A7">
      <w:pPr>
        <w:pStyle w:val="BAS-Normal0"/>
        <w:numPr>
          <w:ilvl w:val="0"/>
          <w:numId w:val="6"/>
        </w:numPr>
        <w:spacing w:before="120" w:after="120"/>
        <w:ind w:left="806" w:hanging="806"/>
      </w:pPr>
      <w:r>
        <w:t>Mid Cap (S&amp;P 400)</w:t>
      </w:r>
    </w:p>
    <w:p w:rsidR="00974902" w:rsidRDefault="00AF24A7">
      <w:pPr>
        <w:pStyle w:val="BAS-Normal0"/>
        <w:numPr>
          <w:ilvl w:val="0"/>
          <w:numId w:val="6"/>
        </w:numPr>
        <w:spacing w:before="120" w:after="120"/>
        <w:ind w:left="806" w:hanging="806"/>
      </w:pPr>
      <w:r>
        <w:t>Small Cap (Russell 2000)</w:t>
      </w:r>
    </w:p>
    <w:p w:rsidR="00974902" w:rsidRDefault="00AF24A7">
      <w:pPr>
        <w:pStyle w:val="BAS-Normal0"/>
        <w:numPr>
          <w:ilvl w:val="0"/>
          <w:numId w:val="6"/>
        </w:numPr>
        <w:spacing w:before="120" w:after="120"/>
        <w:ind w:left="806" w:hanging="806"/>
      </w:pPr>
      <w:r>
        <w:t>Developed Non-US Equity (MSCI EAFE)</w:t>
      </w:r>
    </w:p>
    <w:p w:rsidR="00974902" w:rsidRDefault="00AF24A7">
      <w:pPr>
        <w:pStyle w:val="BAS-Normal0"/>
        <w:numPr>
          <w:ilvl w:val="0"/>
          <w:numId w:val="6"/>
        </w:numPr>
        <w:spacing w:before="120" w:after="120"/>
        <w:ind w:left="806" w:hanging="806"/>
      </w:pPr>
      <w:r>
        <w:t>Core Fixed Income (Bloomberg Barclays Aggregate Bond Index)</w:t>
      </w:r>
    </w:p>
    <w:p w:rsidR="00974902" w:rsidRDefault="00974902">
      <w:pPr>
        <w:pStyle w:val="BAS-Normal0"/>
      </w:pPr>
    </w:p>
    <w:p w:rsidR="00974902" w:rsidRDefault="00AF24A7">
      <w:pPr>
        <w:pStyle w:val="BAS-Normal0"/>
      </w:pPr>
      <w:r>
        <w:t>Each prospectus provided must be marked to indicate the mandate for which it is being proposed (e.g. 1a through 1g). Respondents are not required to provide a prospectus or participation agreement for every mandate above. At a minimum, a Respondent must supply one (1) statutory prospectus or participation agreement for one (1) of the mandates above to satisfy this requirement. Not providing a prospectus for any one mandate, or not marking a prospectus appropriately, may affect the evaluation of the response.</w:t>
      </w:r>
    </w:p>
    <w:p w:rsidR="00974902" w:rsidRDefault="00974902">
      <w:pPr>
        <w:pStyle w:val="BAS-Normal0"/>
      </w:pPr>
    </w:p>
    <w:p w:rsidR="00974902" w:rsidRDefault="00AF24A7">
      <w:pPr>
        <w:pStyle w:val="BAS-Normal0"/>
      </w:pPr>
      <w:r>
        <w:t>Summary prospectus documents will not be accepted in Attachment 1.</w:t>
      </w:r>
    </w:p>
    <w:p w:rsidR="00974902" w:rsidRDefault="00974902">
      <w:pPr>
        <w:pStyle w:val="BAS-Normal0"/>
      </w:pPr>
    </w:p>
    <w:p w:rsidR="00974902" w:rsidRDefault="00AF24A7">
      <w:pPr>
        <w:pStyle w:val="BAS-Heading3"/>
      </w:pPr>
      <w:bookmarkStart w:id="44" w:name="_Toc481766539"/>
      <w:r>
        <w:t>[REQUIRED] Attachment 2: Statement of Financial Condition</w:t>
      </w:r>
      <w:bookmarkEnd w:id="44"/>
    </w:p>
    <w:p w:rsidR="00974902" w:rsidRDefault="00AF24A7">
      <w:pPr>
        <w:pStyle w:val="BAS-Normal0"/>
      </w:pPr>
      <w:r>
        <w:t>The Respondent shall provide a Statement of Financial Condition which states the audited financial statements that is either completed and signed by a Registered Public Account Firm or published in Respondent’s Annual Report. The effective date of this statement shall not be before January 1, 2016.</w:t>
      </w:r>
    </w:p>
    <w:p w:rsidR="00974902" w:rsidRDefault="00974902">
      <w:pPr>
        <w:pStyle w:val="BAS-Normal0"/>
      </w:pPr>
    </w:p>
    <w:p w:rsidR="00974902" w:rsidRDefault="00AF24A7">
      <w:pPr>
        <w:pStyle w:val="BAS-Heading3"/>
      </w:pPr>
      <w:bookmarkStart w:id="45" w:name="_Toc481766540"/>
      <w:r>
        <w:t>[REQUIRED] Attachment 3: Grid Response</w:t>
      </w:r>
      <w:bookmarkEnd w:id="45"/>
    </w:p>
    <w:p w:rsidR="00974902" w:rsidRDefault="00AF24A7">
      <w:pPr>
        <w:pStyle w:val="BAS-Normal0"/>
      </w:pPr>
      <w:r>
        <w:t>The Respondent shall provide a complete response to each tab of the attached supplemental questions grid</w:t>
      </w:r>
      <w:r w:rsidR="00052EFE">
        <w:t xml:space="preserve"> (see Appendix D)</w:t>
      </w:r>
      <w:r>
        <w:t xml:space="preserve">. Mark all responses that are not applicable as “N/A”. For metrics not </w:t>
      </w:r>
      <w:r>
        <w:lastRenderedPageBreak/>
        <w:t>tracked by the firm, please respond as “unknown”.</w:t>
      </w:r>
      <w:r w:rsidR="001B3817">
        <w:t xml:space="preserve"> Information submitted should be as of December 31, 2016. </w:t>
      </w:r>
    </w:p>
    <w:p w:rsidR="00974902" w:rsidRDefault="00974902">
      <w:pPr>
        <w:pStyle w:val="BAS-Normal0"/>
      </w:pPr>
    </w:p>
    <w:p w:rsidR="00974902" w:rsidRDefault="00AF24A7">
      <w:pPr>
        <w:pStyle w:val="BAS-Heading3"/>
      </w:pPr>
      <w:bookmarkStart w:id="46" w:name="_Toc481766541"/>
      <w:r>
        <w:t>[OPTIONAL] Attachment 4: Supplemental Information</w:t>
      </w:r>
      <w:bookmarkEnd w:id="46"/>
    </w:p>
    <w:p w:rsidR="00974902" w:rsidRDefault="00AF24A7">
      <w:pPr>
        <w:pStyle w:val="BAS-Normal0"/>
      </w:pPr>
      <w:r>
        <w:t>The Respondent may provide supplemental comments or additional information. This may include, but is not necessarily limited to, such items as: an organizational overview, information relating to the portfolio management team(s) for the proposed replication strategies and recent changes thereof, information relating to other replication strategies that the Board may consider and proposed contract language.</w:t>
      </w:r>
    </w:p>
    <w:p w:rsidR="006523F2" w:rsidRDefault="006523F2">
      <w:pPr>
        <w:pStyle w:val="BAS-Normal0"/>
      </w:pPr>
      <w:r>
        <w:br w:type="page"/>
      </w:r>
    </w:p>
    <w:p w:rsidR="006523F2" w:rsidRDefault="006523F2">
      <w:pPr>
        <w:pStyle w:val="BAS-Normal0"/>
      </w:pPr>
    </w:p>
    <w:p w:rsidR="00974902" w:rsidRDefault="00AF24A7">
      <w:pPr>
        <w:pStyle w:val="BAS-Heading1"/>
      </w:pPr>
      <w:bookmarkStart w:id="47" w:name="_Toc422293218"/>
      <w:bookmarkStart w:id="48" w:name="_Toc481766542"/>
      <w:r>
        <w:t>Evaluation and Negotiation</w:t>
      </w:r>
      <w:bookmarkEnd w:id="47"/>
      <w:bookmarkEnd w:id="48"/>
    </w:p>
    <w:p w:rsidR="00974902" w:rsidRDefault="00AF24A7">
      <w:pPr>
        <w:pStyle w:val="BAS-Heading2"/>
      </w:pPr>
      <w:bookmarkStart w:id="49" w:name="_Toc422293219"/>
      <w:bookmarkStart w:id="50" w:name="_Toc481766543"/>
      <w:r>
        <w:t>Evaluation</w:t>
      </w:r>
      <w:bookmarkEnd w:id="49"/>
      <w:bookmarkEnd w:id="50"/>
    </w:p>
    <w:p w:rsidR="00974902" w:rsidRDefault="00AF24A7">
      <w:pPr>
        <w:pStyle w:val="BAS-Normal0"/>
      </w:pPr>
      <w:r>
        <w:t xml:space="preserve">Only responses that meet the mandatory requirements of this ITN will be considered by the Board. Responses will be independently evaluated by each member of an Evaluation Team (“Evaluation Team”) on the basis of written Responses to this ITN and additional written information as requested. The Evaluation Team may consider information received from Callan Associates, Inc. (Callan), an investment consultant for the Board. Callan may provide factual information relating to the historical investment performance of the Respondent, including investment returns for the portfolio attributes and consistency of performance. Callan may also provide factual information related to the experience, background, and staffing of the Respondent. Any information provided by Callan will be based on the responsive replies to this ITN and information possessed by Callan through a normal course of business. Callan will not make any decisions on behalf of the Board. </w:t>
      </w:r>
    </w:p>
    <w:p w:rsidR="00974902" w:rsidRDefault="00974902">
      <w:pPr>
        <w:pStyle w:val="BAS-Normal0"/>
      </w:pPr>
    </w:p>
    <w:p w:rsidR="00974902" w:rsidRDefault="00AF24A7">
      <w:pPr>
        <w:pStyle w:val="BAS-Normal0"/>
      </w:pPr>
      <w:r>
        <w:t xml:space="preserve">The Board reserves the right to determine which Responses meet the mandatory requirements of this ITN, and whether any deviation from the specifications, terms, or conditions contained herein is merely minor or technical in nature; </w:t>
      </w:r>
      <w:r>
        <w:rPr>
          <w:b/>
        </w:rPr>
        <w:t>the right to accept Responses which deviate in a minor or technical fashion is also reserved by the Board and the Board reserves the right to accept or reject any and all Responses and to award the contract in the best interests of the Board</w:t>
      </w:r>
    </w:p>
    <w:p w:rsidR="00974902" w:rsidRDefault="00974902">
      <w:pPr>
        <w:pStyle w:val="BAS-Normal0"/>
      </w:pPr>
    </w:p>
    <w:p w:rsidR="00974902" w:rsidRDefault="00AF24A7">
      <w:pPr>
        <w:pStyle w:val="BAS-Normal0"/>
      </w:pPr>
      <w:r>
        <w:t>Responses will be evaluated in a multi-step, progressive, process as follows; Respondents may be removed from consideration in each step based on the criteria documented in this ITN:</w:t>
      </w:r>
    </w:p>
    <w:p w:rsidR="00974902" w:rsidRDefault="00974902">
      <w:pPr>
        <w:pStyle w:val="BAS-Normal0"/>
      </w:pPr>
    </w:p>
    <w:p w:rsidR="00974902" w:rsidRDefault="00AF24A7">
      <w:pPr>
        <w:pStyle w:val="BAS-Heading3"/>
      </w:pPr>
      <w:bookmarkStart w:id="51" w:name="_Toc422293220"/>
      <w:bookmarkStart w:id="52" w:name="_Toc481766544"/>
      <w:r>
        <w:t>Evaluation Step 1: Evaluation of Mandatory Requirements</w:t>
      </w:r>
      <w:bookmarkEnd w:id="51"/>
      <w:bookmarkEnd w:id="52"/>
    </w:p>
    <w:p w:rsidR="00974902" w:rsidRDefault="00AF24A7">
      <w:pPr>
        <w:pStyle w:val="BAS-Normal0"/>
      </w:pPr>
      <w:r>
        <w:t>The evaluation process will begin with a review of the mandatory requirements for Responses set forth in Section 5.0. Any Response that does not meet the mandatory requirements of Section 5.0 will be rejected, subject to the Board reservation of rights. The determination in this evaluation step is pass/fail. Respondents that satisfy the mandatory requirements will be moved to the next evaluation step. Respondents that do not satisfy the mandatory requirements will be removed from consideration. No points will be awarded in this evaluation step.</w:t>
      </w:r>
    </w:p>
    <w:p w:rsidR="00974902" w:rsidRDefault="00974902">
      <w:pPr>
        <w:pStyle w:val="BAS-Normal0"/>
      </w:pPr>
    </w:p>
    <w:p w:rsidR="00974902" w:rsidRDefault="00AF24A7">
      <w:pPr>
        <w:pStyle w:val="BAS-Heading3"/>
      </w:pPr>
      <w:bookmarkStart w:id="53" w:name="_Toc422293221"/>
      <w:bookmarkStart w:id="54" w:name="_Toc481766545"/>
      <w:r>
        <w:t xml:space="preserve">Evaluation Step 2: Evaluation of </w:t>
      </w:r>
      <w:bookmarkEnd w:id="53"/>
      <w:r>
        <w:t>Responsive Replies</w:t>
      </w:r>
      <w:bookmarkEnd w:id="54"/>
    </w:p>
    <w:p w:rsidR="00974902" w:rsidRDefault="00AF24A7">
      <w:pPr>
        <w:pStyle w:val="BAS-Normal0"/>
      </w:pPr>
      <w:r>
        <w:t xml:space="preserve">For index replication strategies, each prospectus and/or participation agreement document provided in Attachment 1 (items “1a”-“1g” as provided) by the Respondent will be independently evaluated by each member of an Evaluation Team and points will be awarded in the following areas: (1) investment performance considering investment philosophy and strategy, (2) organizational experience, and (3) annual fees. In addition, based on all documents and materials provided in a Response, the (4) financial stability of the Respondent and (5) the Respondent’s ability to meet the needs of the Board will also be evaluated. </w:t>
      </w:r>
    </w:p>
    <w:p w:rsidR="006523F2" w:rsidRDefault="006523F2">
      <w:pPr>
        <w:pStyle w:val="BAS-Normal0"/>
      </w:pPr>
    </w:p>
    <w:p w:rsidR="00974902" w:rsidRDefault="00AF24A7">
      <w:pPr>
        <w:pStyle w:val="BAS-Normal0"/>
      </w:pPr>
      <w:bookmarkStart w:id="55" w:name="_Ref424244293"/>
      <w:r>
        <w:t>T</w:t>
      </w:r>
      <w:bookmarkEnd w:id="55"/>
      <w:r w:rsidR="00C83816">
        <w:t>he following</w:t>
      </w:r>
      <w:r>
        <w:rPr>
          <w:noProof/>
        </w:rPr>
        <w:t xml:space="preserve"> represents the maximum initial </w:t>
      </w:r>
      <w:r>
        <w:t>point values that may be awarded per evaluator by criteria.</w:t>
      </w:r>
    </w:p>
    <w:p w:rsidR="006523F2" w:rsidRDefault="006523F2">
      <w:pPr>
        <w:pStyle w:val="BAS-Normal0"/>
      </w:pPr>
    </w:p>
    <w:p w:rsidR="006523F2" w:rsidRDefault="006523F2">
      <w:pPr>
        <w:pStyle w:val="BAS-Normal0"/>
      </w:pPr>
    </w:p>
    <w:tbl>
      <w:tblPr>
        <w:tblStyle w:val="LightList"/>
        <w:tblW w:w="10170" w:type="dxa"/>
        <w:tblInd w:w="108" w:type="dxa"/>
        <w:tblLook w:val="0460" w:firstRow="1" w:lastRow="1" w:firstColumn="0" w:lastColumn="0" w:noHBand="0" w:noVBand="1"/>
      </w:tblPr>
      <w:tblGrid>
        <w:gridCol w:w="7380"/>
        <w:gridCol w:w="1395"/>
        <w:gridCol w:w="1395"/>
      </w:tblGrid>
      <w:tr w:rsidR="00974902" w:rsidTr="00974902">
        <w:trPr>
          <w:cnfStyle w:val="100000000000" w:firstRow="1" w:lastRow="0" w:firstColumn="0" w:lastColumn="0" w:oddVBand="0" w:evenVBand="0" w:oddHBand="0" w:evenHBand="0" w:firstRowFirstColumn="0" w:firstRowLastColumn="0" w:lastRowFirstColumn="0" w:lastRowLastColumn="0"/>
        </w:trPr>
        <w:tc>
          <w:tcPr>
            <w:tcW w:w="7380" w:type="dxa"/>
            <w:tcBorders>
              <w:top w:val="single" w:sz="8" w:space="0" w:color="000000" w:themeColor="text1"/>
            </w:tcBorders>
            <w:vAlign w:val="center"/>
          </w:tcPr>
          <w:p w:rsidR="00974902" w:rsidRDefault="00AF24A7">
            <w:pPr>
              <w:rPr>
                <w:rFonts w:ascii="Century Gothic" w:hAnsi="Century Gothic"/>
                <w:sz w:val="20"/>
                <w:szCs w:val="23"/>
              </w:rPr>
            </w:pPr>
            <w:r>
              <w:rPr>
                <w:rFonts w:ascii="Century Gothic" w:hAnsi="Century Gothic"/>
                <w:sz w:val="20"/>
                <w:szCs w:val="23"/>
              </w:rPr>
              <w:lastRenderedPageBreak/>
              <w:t>Scoring Criteria</w:t>
            </w:r>
          </w:p>
        </w:tc>
        <w:tc>
          <w:tcPr>
            <w:tcW w:w="1395" w:type="dxa"/>
            <w:tcBorders>
              <w:top w:val="single" w:sz="8" w:space="0" w:color="000000" w:themeColor="text1"/>
            </w:tcBorders>
            <w:vAlign w:val="center"/>
          </w:tcPr>
          <w:p w:rsidR="00974902" w:rsidRDefault="00AF24A7">
            <w:pPr>
              <w:jc w:val="center"/>
              <w:rPr>
                <w:rFonts w:ascii="Century Gothic" w:hAnsi="Century Gothic"/>
                <w:sz w:val="20"/>
                <w:szCs w:val="23"/>
              </w:rPr>
            </w:pPr>
            <w:r>
              <w:rPr>
                <w:rFonts w:ascii="Century Gothic" w:hAnsi="Century Gothic"/>
                <w:sz w:val="20"/>
                <w:szCs w:val="23"/>
              </w:rPr>
              <w:t>Score (a)</w:t>
            </w:r>
          </w:p>
        </w:tc>
        <w:tc>
          <w:tcPr>
            <w:tcW w:w="1395" w:type="dxa"/>
            <w:tcBorders>
              <w:top w:val="single" w:sz="8" w:space="0" w:color="000000" w:themeColor="text1"/>
            </w:tcBorders>
            <w:vAlign w:val="center"/>
          </w:tcPr>
          <w:p w:rsidR="00974902" w:rsidRDefault="00AF24A7">
            <w:pPr>
              <w:jc w:val="center"/>
              <w:rPr>
                <w:rFonts w:ascii="Century Gothic" w:hAnsi="Century Gothic"/>
                <w:sz w:val="20"/>
                <w:szCs w:val="23"/>
              </w:rPr>
            </w:pPr>
            <w:r>
              <w:rPr>
                <w:rFonts w:ascii="Century Gothic" w:hAnsi="Century Gothic"/>
                <w:sz w:val="20"/>
                <w:szCs w:val="23"/>
              </w:rPr>
              <w:t>Possible (b)</w:t>
            </w:r>
          </w:p>
        </w:tc>
      </w:tr>
      <w:tr w:rsidR="00974902" w:rsidTr="00974902">
        <w:trPr>
          <w:cnfStyle w:val="000000100000" w:firstRow="0" w:lastRow="0" w:firstColumn="0" w:lastColumn="0" w:oddVBand="0" w:evenVBand="0" w:oddHBand="1" w:evenHBand="0" w:firstRowFirstColumn="0" w:firstRowLastColumn="0" w:lastRowFirstColumn="0" w:lastRowLastColumn="0"/>
          <w:trHeight w:val="63"/>
        </w:trPr>
        <w:tc>
          <w:tcPr>
            <w:tcW w:w="7380" w:type="dxa"/>
          </w:tcPr>
          <w:p w:rsidR="00974902" w:rsidRDefault="00974902">
            <w:pPr>
              <w:pStyle w:val="BAS-Normal0"/>
              <w:rPr>
                <w:sz w:val="2"/>
                <w:szCs w:val="2"/>
              </w:rPr>
            </w:pPr>
          </w:p>
        </w:tc>
        <w:tc>
          <w:tcPr>
            <w:tcW w:w="1395" w:type="dxa"/>
            <w:shd w:val="clear" w:color="auto" w:fill="auto"/>
          </w:tcPr>
          <w:p w:rsidR="00974902" w:rsidRDefault="00974902">
            <w:pPr>
              <w:jc w:val="center"/>
              <w:rPr>
                <w:rFonts w:ascii="Century Gothic" w:hAnsi="Century Gothic"/>
                <w:sz w:val="2"/>
                <w:szCs w:val="2"/>
              </w:rPr>
            </w:pPr>
          </w:p>
        </w:tc>
        <w:tc>
          <w:tcPr>
            <w:tcW w:w="1395" w:type="dxa"/>
          </w:tcPr>
          <w:p w:rsidR="00974902" w:rsidRDefault="00974902">
            <w:pPr>
              <w:jc w:val="center"/>
              <w:rPr>
                <w:rFonts w:ascii="Century Gothic" w:hAnsi="Century Gothic"/>
                <w:sz w:val="2"/>
                <w:szCs w:val="2"/>
              </w:rPr>
            </w:pPr>
          </w:p>
        </w:tc>
      </w:tr>
      <w:tr w:rsidR="00974902" w:rsidTr="00974902">
        <w:trPr>
          <w:trHeight w:val="144"/>
        </w:trPr>
        <w:tc>
          <w:tcPr>
            <w:tcW w:w="7380" w:type="dxa"/>
            <w:tcBorders>
              <w:top w:val="single" w:sz="8" w:space="0" w:color="000000" w:themeColor="text1"/>
              <w:bottom w:val="single" w:sz="8" w:space="0" w:color="000000" w:themeColor="text1"/>
            </w:tcBorders>
            <w:vAlign w:val="center"/>
          </w:tcPr>
          <w:p w:rsidR="00974902" w:rsidRDefault="00AF24A7">
            <w:pPr>
              <w:pStyle w:val="BAS-Normal0"/>
              <w:jc w:val="left"/>
              <w:rPr>
                <w:b/>
              </w:rPr>
            </w:pPr>
            <w:r>
              <w:rPr>
                <w:b/>
              </w:rPr>
              <w:t>1a Large Cap Value</w:t>
            </w: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tc>
        <w:tc>
          <w:tcPr>
            <w:tcW w:w="1395" w:type="dxa"/>
            <w:tcBorders>
              <w:top w:val="single" w:sz="8" w:space="0" w:color="000000" w:themeColor="text1"/>
              <w:bottom w:val="single" w:sz="8" w:space="0" w:color="000000" w:themeColor="text1"/>
            </w:tcBorders>
            <w:vAlign w:val="center"/>
          </w:tcPr>
          <w:p w:rsidR="00974902" w:rsidRDefault="00974902"/>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bottom w:val="nil"/>
            </w:tcBorders>
            <w:vAlign w:val="bottom"/>
          </w:tcPr>
          <w:p w:rsidR="00974902" w:rsidRDefault="00AF24A7">
            <w:pPr>
              <w:pStyle w:val="BAS-Normal0"/>
              <w:jc w:val="left"/>
            </w:pPr>
            <w:r>
              <w:t>Did Respondent provide a prospectus for this option? (YES = 100, NO = 0)</w:t>
            </w:r>
          </w:p>
        </w:tc>
        <w:tc>
          <w:tcPr>
            <w:tcW w:w="1395" w:type="dxa"/>
            <w:tcBorders>
              <w:bottom w:val="nil"/>
            </w:tcBorders>
            <w:shd w:val="clear" w:color="auto" w:fill="auto"/>
            <w:vAlign w:val="bottom"/>
          </w:tcPr>
          <w:p w:rsidR="00974902" w:rsidRDefault="00974902">
            <w:pPr>
              <w:jc w:val="center"/>
            </w:pPr>
          </w:p>
        </w:tc>
        <w:tc>
          <w:tcPr>
            <w:tcW w:w="1395" w:type="dxa"/>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top w:val="single" w:sz="8" w:space="0" w:color="000000" w:themeColor="text1"/>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 xml:space="preserve">(2) Experience </w:t>
            </w:r>
          </w:p>
        </w:tc>
        <w:tc>
          <w:tcPr>
            <w:tcW w:w="1395" w:type="dxa"/>
            <w:tcBorders>
              <w:top w:val="nil"/>
              <w:bottom w:val="single" w:sz="8" w:space="0" w:color="000000" w:themeColor="text1"/>
            </w:tcBorders>
            <w:shd w:val="clear" w:color="auto" w:fill="auto"/>
            <w:vAlign w:val="bottom"/>
          </w:tcPr>
          <w:p w:rsidR="00974902" w:rsidRDefault="00AF24A7">
            <w:pPr>
              <w:jc w:val="center"/>
            </w:pPr>
            <w:r>
              <w:t>20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(3) Fees</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single" w:sz="8" w:space="0" w:color="000000" w:themeColor="text1"/>
              <w:bottom w:val="single" w:sz="8" w:space="0" w:color="000000" w:themeColor="text1"/>
            </w:tcBorders>
            <w:vAlign w:val="center"/>
          </w:tcPr>
          <w:p w:rsidR="00974902" w:rsidRDefault="00AF24A7">
            <w:pPr>
              <w:pStyle w:val="BAS-Normal0"/>
              <w:jc w:val="left"/>
              <w:rPr>
                <w:b/>
              </w:rPr>
            </w:pPr>
            <w:r>
              <w:rPr>
                <w:b/>
              </w:rPr>
              <w:t>1b Large Cap Growth</w:t>
            </w: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tc>
        <w:tc>
          <w:tcPr>
            <w:tcW w:w="1395" w:type="dxa"/>
            <w:tcBorders>
              <w:top w:val="single" w:sz="8" w:space="0" w:color="000000" w:themeColor="text1"/>
              <w:bottom w:val="single" w:sz="8" w:space="0" w:color="000000" w:themeColor="text1"/>
            </w:tcBorders>
            <w:vAlign w:val="center"/>
          </w:tcPr>
          <w:p w:rsidR="00974902" w:rsidRDefault="00974902"/>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jc w:val="left"/>
            </w:pPr>
            <w:r>
              <w:t>Did Respondent provide a prospectus for this option? (YES = 100, NO = 0)</w:t>
            </w:r>
          </w:p>
        </w:tc>
        <w:tc>
          <w:tcPr>
            <w:tcW w:w="1395" w:type="dxa"/>
            <w:tcBorders>
              <w:top w:val="nil"/>
              <w:bottom w:val="nil"/>
            </w:tcBorders>
            <w:shd w:val="clear" w:color="auto" w:fill="auto"/>
            <w:vAlign w:val="bottom"/>
          </w:tcPr>
          <w:p w:rsidR="00974902" w:rsidRDefault="00974902">
            <w:pPr>
              <w:jc w:val="center"/>
            </w:pPr>
          </w:p>
        </w:tc>
        <w:tc>
          <w:tcPr>
            <w:tcW w:w="1395" w:type="dxa"/>
            <w:tcBorders>
              <w:top w:val="nil"/>
            </w:tcBorders>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 xml:space="preserve">(2) Experience </w:t>
            </w:r>
          </w:p>
        </w:tc>
        <w:tc>
          <w:tcPr>
            <w:tcW w:w="1395" w:type="dxa"/>
            <w:tcBorders>
              <w:top w:val="nil"/>
              <w:bottom w:val="single" w:sz="8" w:space="0" w:color="000000" w:themeColor="text1"/>
            </w:tcBorders>
            <w:shd w:val="clear" w:color="auto" w:fill="auto"/>
            <w:vAlign w:val="bottom"/>
          </w:tcPr>
          <w:p w:rsidR="00974902" w:rsidRDefault="00AF24A7">
            <w:pPr>
              <w:jc w:val="center"/>
            </w:pPr>
            <w:r>
              <w:t>20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(3) Fees</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single" w:sz="8" w:space="0" w:color="000000" w:themeColor="text1"/>
              <w:bottom w:val="single" w:sz="8" w:space="0" w:color="000000" w:themeColor="text1"/>
            </w:tcBorders>
            <w:vAlign w:val="center"/>
          </w:tcPr>
          <w:p w:rsidR="00974902" w:rsidRDefault="00AF24A7">
            <w:pPr>
              <w:pStyle w:val="BAS-Normal0"/>
              <w:jc w:val="left"/>
              <w:rPr>
                <w:b/>
              </w:rPr>
            </w:pPr>
            <w:r>
              <w:rPr>
                <w:b/>
              </w:rPr>
              <w:t>1c Large Cap Core</w:t>
            </w: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tc>
        <w:tc>
          <w:tcPr>
            <w:tcW w:w="1395" w:type="dxa"/>
            <w:tcBorders>
              <w:top w:val="single" w:sz="8" w:space="0" w:color="000000" w:themeColor="text1"/>
              <w:bottom w:val="single" w:sz="8" w:space="0" w:color="000000" w:themeColor="text1"/>
            </w:tcBorders>
            <w:vAlign w:val="center"/>
          </w:tcPr>
          <w:p w:rsidR="00974902" w:rsidRDefault="00974902"/>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jc w:val="left"/>
            </w:pPr>
            <w:r>
              <w:t>Did Respondent provide a prospectus for this option? (YES = 100, NO = 0)</w:t>
            </w:r>
          </w:p>
        </w:tc>
        <w:tc>
          <w:tcPr>
            <w:tcW w:w="1395" w:type="dxa"/>
            <w:tcBorders>
              <w:top w:val="nil"/>
              <w:bottom w:val="nil"/>
            </w:tcBorders>
            <w:shd w:val="clear" w:color="auto" w:fill="auto"/>
            <w:vAlign w:val="bottom"/>
          </w:tcPr>
          <w:p w:rsidR="00974902" w:rsidRDefault="00974902">
            <w:pPr>
              <w:jc w:val="center"/>
            </w:pPr>
          </w:p>
        </w:tc>
        <w:tc>
          <w:tcPr>
            <w:tcW w:w="1395" w:type="dxa"/>
            <w:tcBorders>
              <w:top w:val="nil"/>
            </w:tcBorders>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 xml:space="preserve">(2) Experience </w:t>
            </w:r>
          </w:p>
        </w:tc>
        <w:tc>
          <w:tcPr>
            <w:tcW w:w="1395" w:type="dxa"/>
            <w:tcBorders>
              <w:top w:val="nil"/>
              <w:bottom w:val="single" w:sz="8" w:space="0" w:color="000000" w:themeColor="text1"/>
            </w:tcBorders>
            <w:shd w:val="clear" w:color="auto" w:fill="auto"/>
            <w:vAlign w:val="bottom"/>
          </w:tcPr>
          <w:p w:rsidR="00974902" w:rsidRDefault="00AF24A7">
            <w:pPr>
              <w:jc w:val="center"/>
            </w:pPr>
            <w:r>
              <w:t>20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(3) Fees</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single" w:sz="8" w:space="0" w:color="000000" w:themeColor="text1"/>
              <w:bottom w:val="single" w:sz="8" w:space="0" w:color="000000" w:themeColor="text1"/>
            </w:tcBorders>
            <w:vAlign w:val="center"/>
          </w:tcPr>
          <w:p w:rsidR="00974902" w:rsidRDefault="00AF24A7">
            <w:pPr>
              <w:pStyle w:val="BAS-Normal0"/>
              <w:jc w:val="left"/>
              <w:rPr>
                <w:b/>
              </w:rPr>
            </w:pPr>
            <w:r>
              <w:rPr>
                <w:b/>
              </w:rPr>
              <w:t>1d Mid Cap</w:t>
            </w: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tc>
        <w:tc>
          <w:tcPr>
            <w:tcW w:w="1395" w:type="dxa"/>
            <w:tcBorders>
              <w:top w:val="single" w:sz="8" w:space="0" w:color="000000" w:themeColor="text1"/>
              <w:bottom w:val="single" w:sz="8" w:space="0" w:color="000000" w:themeColor="text1"/>
            </w:tcBorders>
            <w:vAlign w:val="center"/>
          </w:tcPr>
          <w:p w:rsidR="00974902" w:rsidRDefault="00974902"/>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jc w:val="left"/>
            </w:pPr>
            <w:r>
              <w:t>Did Respondent provide a prospectus for this option? (YES = 100, NO = 0)</w:t>
            </w:r>
          </w:p>
        </w:tc>
        <w:tc>
          <w:tcPr>
            <w:tcW w:w="1395" w:type="dxa"/>
            <w:tcBorders>
              <w:top w:val="nil"/>
              <w:bottom w:val="nil"/>
            </w:tcBorders>
            <w:shd w:val="clear" w:color="auto" w:fill="auto"/>
            <w:vAlign w:val="bottom"/>
          </w:tcPr>
          <w:p w:rsidR="00974902" w:rsidRDefault="00974902">
            <w:pPr>
              <w:jc w:val="center"/>
            </w:pPr>
          </w:p>
        </w:tc>
        <w:tc>
          <w:tcPr>
            <w:tcW w:w="1395" w:type="dxa"/>
            <w:tcBorders>
              <w:top w:val="nil"/>
            </w:tcBorders>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 xml:space="preserve">(2) Experience </w:t>
            </w:r>
          </w:p>
        </w:tc>
        <w:tc>
          <w:tcPr>
            <w:tcW w:w="1395" w:type="dxa"/>
            <w:tcBorders>
              <w:top w:val="nil"/>
              <w:bottom w:val="single" w:sz="8" w:space="0" w:color="000000" w:themeColor="text1"/>
            </w:tcBorders>
            <w:shd w:val="clear" w:color="auto" w:fill="auto"/>
            <w:vAlign w:val="bottom"/>
          </w:tcPr>
          <w:p w:rsidR="00974902" w:rsidRDefault="00AF24A7">
            <w:pPr>
              <w:jc w:val="center"/>
            </w:pPr>
            <w:r>
              <w:t>20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single" w:sz="4" w:space="0" w:color="auto"/>
            </w:tcBorders>
            <w:vAlign w:val="bottom"/>
          </w:tcPr>
          <w:p w:rsidR="00974902" w:rsidRDefault="00AF24A7">
            <w:pPr>
              <w:pStyle w:val="BAS-Normal0"/>
              <w:ind w:left="720"/>
              <w:jc w:val="left"/>
            </w:pPr>
            <w:r>
              <w:t>(3) Fees</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single" w:sz="4" w:space="0" w:color="auto"/>
            </w:tcBorders>
            <w:vAlign w:val="bottom"/>
          </w:tcPr>
          <w:p w:rsidR="00974902" w:rsidRDefault="00974902">
            <w:pPr>
              <w:jc w:val="center"/>
            </w:pPr>
          </w:p>
        </w:tc>
      </w:tr>
      <w:tr w:rsidR="00974902" w:rsidTr="00974902">
        <w:trPr>
          <w:trHeight w:val="144"/>
        </w:trPr>
        <w:tc>
          <w:tcPr>
            <w:tcW w:w="7380" w:type="dxa"/>
            <w:tcBorders>
              <w:top w:val="single" w:sz="4" w:space="0" w:color="auto"/>
              <w:bottom w:val="single" w:sz="4" w:space="0" w:color="auto"/>
            </w:tcBorders>
            <w:vAlign w:val="center"/>
          </w:tcPr>
          <w:p w:rsidR="00974902" w:rsidRDefault="00AF24A7">
            <w:pPr>
              <w:pStyle w:val="BAS-Normal0"/>
              <w:jc w:val="left"/>
            </w:pPr>
            <w:r>
              <w:rPr>
                <w:b/>
              </w:rPr>
              <w:t>1e Small Cap</w:t>
            </w:r>
          </w:p>
        </w:tc>
        <w:tc>
          <w:tcPr>
            <w:tcW w:w="1395" w:type="dxa"/>
            <w:tcBorders>
              <w:top w:val="nil"/>
              <w:bottom w:val="single" w:sz="4" w:space="0" w:color="auto"/>
            </w:tcBorders>
            <w:shd w:val="clear" w:color="auto" w:fill="auto"/>
            <w:vAlign w:val="center"/>
          </w:tcPr>
          <w:p w:rsidR="00974902" w:rsidRDefault="00974902">
            <w:pPr>
              <w:jc w:val="center"/>
            </w:pPr>
          </w:p>
        </w:tc>
        <w:tc>
          <w:tcPr>
            <w:tcW w:w="1395" w:type="dxa"/>
            <w:tcBorders>
              <w:top w:val="single" w:sz="4" w:space="0" w:color="auto"/>
              <w:bottom w:val="single" w:sz="4" w:space="0" w:color="auto"/>
            </w:tcBorders>
            <w:vAlign w:val="center"/>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single" w:sz="4" w:space="0" w:color="auto"/>
              <w:bottom w:val="nil"/>
            </w:tcBorders>
            <w:vAlign w:val="bottom"/>
          </w:tcPr>
          <w:p w:rsidR="00974902" w:rsidRDefault="00AF24A7">
            <w:pPr>
              <w:pStyle w:val="BAS-Normal0"/>
              <w:jc w:val="left"/>
            </w:pPr>
            <w:r>
              <w:t>Did Respondent provide a prospectus for this option? (YES = 100, NO = 0)</w:t>
            </w:r>
          </w:p>
        </w:tc>
        <w:tc>
          <w:tcPr>
            <w:tcW w:w="1395" w:type="dxa"/>
            <w:tcBorders>
              <w:top w:val="single" w:sz="4" w:space="0" w:color="auto"/>
              <w:bottom w:val="nil"/>
            </w:tcBorders>
            <w:shd w:val="clear" w:color="auto" w:fill="auto"/>
            <w:vAlign w:val="bottom"/>
          </w:tcPr>
          <w:p w:rsidR="00974902" w:rsidRDefault="00974902">
            <w:pPr>
              <w:jc w:val="center"/>
            </w:pPr>
          </w:p>
        </w:tc>
        <w:tc>
          <w:tcPr>
            <w:tcW w:w="1395" w:type="dxa"/>
            <w:tcBorders>
              <w:top w:val="single" w:sz="4" w:space="0" w:color="auto"/>
              <w:bottom w:val="single" w:sz="4" w:space="0" w:color="auto"/>
            </w:tcBorders>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tcBorders>
            <w:shd w:val="clear" w:color="auto" w:fill="auto"/>
            <w:vAlign w:val="bottom"/>
          </w:tcPr>
          <w:p w:rsidR="00974902" w:rsidRDefault="00974902">
            <w:pPr>
              <w:jc w:val="center"/>
            </w:pPr>
          </w:p>
        </w:tc>
        <w:tc>
          <w:tcPr>
            <w:tcW w:w="1395" w:type="dxa"/>
            <w:tcBorders>
              <w:top w:val="single" w:sz="4" w:space="0" w:color="auto"/>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bottom w:val="nil"/>
            </w:tcBorders>
            <w:vAlign w:val="bottom"/>
          </w:tcPr>
          <w:p w:rsidR="00974902" w:rsidRDefault="00AF24A7">
            <w:pPr>
              <w:pStyle w:val="BAS-Normal0"/>
              <w:ind w:left="720"/>
              <w:jc w:val="left"/>
            </w:pPr>
            <w:r>
              <w:t xml:space="preserve">(2) Experience </w:t>
            </w:r>
          </w:p>
        </w:tc>
        <w:tc>
          <w:tcPr>
            <w:tcW w:w="1395" w:type="dxa"/>
            <w:tcBorders>
              <w:top w:val="nil"/>
              <w:bottom w:val="single" w:sz="4" w:space="0" w:color="auto"/>
            </w:tcBorders>
            <w:shd w:val="clear" w:color="auto" w:fill="auto"/>
            <w:vAlign w:val="bottom"/>
          </w:tcPr>
          <w:p w:rsidR="00974902" w:rsidRDefault="00AF24A7">
            <w:pPr>
              <w:jc w:val="center"/>
            </w:pPr>
            <w:r>
              <w:t>20</w:t>
            </w:r>
          </w:p>
        </w:tc>
        <w:tc>
          <w:tcPr>
            <w:tcW w:w="1395" w:type="dxa"/>
            <w:tcBorders>
              <w:top w:val="nil"/>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single" w:sz="4" w:space="0" w:color="auto"/>
            </w:tcBorders>
            <w:vAlign w:val="bottom"/>
          </w:tcPr>
          <w:p w:rsidR="00974902" w:rsidRDefault="00AF24A7">
            <w:pPr>
              <w:pStyle w:val="BAS-Normal0"/>
              <w:ind w:left="720"/>
              <w:jc w:val="left"/>
            </w:pPr>
            <w:r>
              <w:t>(3) Fees</w:t>
            </w:r>
          </w:p>
        </w:tc>
        <w:tc>
          <w:tcPr>
            <w:tcW w:w="1395" w:type="dxa"/>
            <w:tcBorders>
              <w:top w:val="single" w:sz="4" w:space="0" w:color="auto"/>
            </w:tcBorders>
            <w:shd w:val="clear" w:color="auto" w:fill="auto"/>
            <w:vAlign w:val="bottom"/>
          </w:tcPr>
          <w:p w:rsidR="00974902" w:rsidRDefault="00AF24A7">
            <w:pPr>
              <w:jc w:val="center"/>
            </w:pPr>
            <w:r>
              <w:t>40</w:t>
            </w:r>
          </w:p>
        </w:tc>
        <w:tc>
          <w:tcPr>
            <w:tcW w:w="1395" w:type="dxa"/>
            <w:tcBorders>
              <w:top w:val="nil"/>
              <w:bottom w:val="single" w:sz="4" w:space="0" w:color="auto"/>
            </w:tcBorders>
            <w:vAlign w:val="bottom"/>
          </w:tcPr>
          <w:p w:rsidR="00974902" w:rsidRDefault="00974902">
            <w:pPr>
              <w:jc w:val="center"/>
            </w:pPr>
          </w:p>
        </w:tc>
      </w:tr>
      <w:tr w:rsidR="00974902" w:rsidTr="00974902">
        <w:trPr>
          <w:trHeight w:val="144"/>
        </w:trPr>
        <w:tc>
          <w:tcPr>
            <w:tcW w:w="7380" w:type="dxa"/>
            <w:tcBorders>
              <w:top w:val="single" w:sz="4" w:space="0" w:color="auto"/>
              <w:bottom w:val="single" w:sz="4" w:space="0" w:color="auto"/>
            </w:tcBorders>
            <w:vAlign w:val="center"/>
          </w:tcPr>
          <w:p w:rsidR="00974902" w:rsidRDefault="00AF24A7">
            <w:pPr>
              <w:pStyle w:val="BAS-Normal0"/>
              <w:jc w:val="left"/>
            </w:pPr>
            <w:r>
              <w:rPr>
                <w:b/>
              </w:rPr>
              <w:t xml:space="preserve">1f Developed Non-US Equity </w:t>
            </w:r>
          </w:p>
        </w:tc>
        <w:tc>
          <w:tcPr>
            <w:tcW w:w="1395" w:type="dxa"/>
            <w:tcBorders>
              <w:top w:val="single" w:sz="4" w:space="0" w:color="auto"/>
            </w:tcBorders>
            <w:shd w:val="clear" w:color="auto" w:fill="auto"/>
            <w:vAlign w:val="center"/>
          </w:tcPr>
          <w:p w:rsidR="00974902" w:rsidRDefault="00974902">
            <w:pPr>
              <w:jc w:val="center"/>
            </w:pPr>
          </w:p>
        </w:tc>
        <w:tc>
          <w:tcPr>
            <w:tcW w:w="1395" w:type="dxa"/>
            <w:tcBorders>
              <w:top w:val="single" w:sz="4" w:space="0" w:color="auto"/>
              <w:bottom w:val="single" w:sz="4" w:space="0" w:color="auto"/>
            </w:tcBorders>
            <w:vAlign w:val="center"/>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single" w:sz="4" w:space="0" w:color="auto"/>
              <w:bottom w:val="nil"/>
            </w:tcBorders>
            <w:vAlign w:val="bottom"/>
          </w:tcPr>
          <w:p w:rsidR="00974902" w:rsidRDefault="00AF24A7">
            <w:pPr>
              <w:pStyle w:val="BAS-Normal0"/>
              <w:jc w:val="left"/>
            </w:pPr>
            <w:r>
              <w:t>Did Respondent provide a prospectus for this option? (YES = 100, NO = 0)</w:t>
            </w:r>
          </w:p>
        </w:tc>
        <w:tc>
          <w:tcPr>
            <w:tcW w:w="1395" w:type="dxa"/>
            <w:tcBorders>
              <w:top w:val="single" w:sz="4" w:space="0" w:color="auto"/>
              <w:bottom w:val="nil"/>
            </w:tcBorders>
            <w:shd w:val="clear" w:color="auto" w:fill="auto"/>
            <w:vAlign w:val="bottom"/>
          </w:tcPr>
          <w:p w:rsidR="00974902" w:rsidRDefault="00974902">
            <w:pPr>
              <w:jc w:val="center"/>
            </w:pPr>
          </w:p>
        </w:tc>
        <w:tc>
          <w:tcPr>
            <w:tcW w:w="1395" w:type="dxa"/>
            <w:tcBorders>
              <w:top w:val="single" w:sz="4" w:space="0" w:color="auto"/>
              <w:bottom w:val="single" w:sz="4" w:space="0" w:color="auto"/>
            </w:tcBorders>
            <w:vAlign w:val="bottom"/>
          </w:tcPr>
          <w:p w:rsidR="00974902" w:rsidRDefault="00AF24A7">
            <w:pPr>
              <w:jc w:val="center"/>
            </w:pPr>
            <w:r>
              <w:t>100</w:t>
            </w:r>
          </w:p>
        </w:tc>
      </w:tr>
      <w:tr w:rsidR="00974902" w:rsidTr="00974902">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top w:val="single" w:sz="4" w:space="0" w:color="auto"/>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(1) Investment performance given investment strategy</w:t>
            </w:r>
          </w:p>
        </w:tc>
        <w:tc>
          <w:tcPr>
            <w:tcW w:w="1395" w:type="dxa"/>
            <w:tcBorders>
              <w:top w:val="nil"/>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rPr>
          <w:trHeight w:val="144"/>
        </w:trPr>
        <w:tc>
          <w:tcPr>
            <w:tcW w:w="7380" w:type="dxa"/>
            <w:tcBorders>
              <w:top w:val="nil"/>
              <w:bottom w:val="nil"/>
            </w:tcBorders>
            <w:vAlign w:val="bottom"/>
          </w:tcPr>
          <w:p w:rsidR="00974902" w:rsidRDefault="00AF24A7">
            <w:pPr>
              <w:pStyle w:val="BAS-Normal0"/>
              <w:ind w:left="720"/>
              <w:jc w:val="left"/>
            </w:pPr>
            <w:r>
              <w:t xml:space="preserve">(2) Experience </w:t>
            </w:r>
          </w:p>
        </w:tc>
        <w:tc>
          <w:tcPr>
            <w:tcW w:w="1395" w:type="dxa"/>
            <w:tcBorders>
              <w:top w:val="single" w:sz="4" w:space="0" w:color="auto"/>
            </w:tcBorders>
            <w:shd w:val="clear" w:color="auto" w:fill="auto"/>
            <w:vAlign w:val="bottom"/>
          </w:tcPr>
          <w:p w:rsidR="00974902" w:rsidRDefault="00AF24A7">
            <w:pPr>
              <w:jc w:val="center"/>
            </w:pPr>
            <w:r>
              <w:t>20</w:t>
            </w:r>
          </w:p>
        </w:tc>
        <w:tc>
          <w:tcPr>
            <w:tcW w:w="1395" w:type="dxa"/>
            <w:tcBorders>
              <w:top w:val="nil"/>
              <w:bottom w:val="nil"/>
            </w:tcBorders>
            <w:vAlign w:val="bottom"/>
          </w:tcPr>
          <w:p w:rsidR="00974902" w:rsidRDefault="00974902">
            <w:pPr>
              <w:jc w:val="cente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tcBorders>
              <w:top w:val="nil"/>
              <w:bottom w:val="nil"/>
            </w:tcBorders>
            <w:vAlign w:val="bottom"/>
          </w:tcPr>
          <w:p w:rsidR="00974902" w:rsidRDefault="00AF24A7">
            <w:pPr>
              <w:pStyle w:val="BAS-Normal0"/>
              <w:ind w:left="720"/>
              <w:jc w:val="left"/>
            </w:pPr>
            <w:r>
              <w:t>(3) Fees</w:t>
            </w:r>
          </w:p>
        </w:tc>
        <w:tc>
          <w:tcPr>
            <w:tcW w:w="1395" w:type="dxa"/>
            <w:tcBorders>
              <w:top w:val="single" w:sz="4" w:space="0" w:color="auto"/>
            </w:tcBorders>
            <w:shd w:val="clear" w:color="auto" w:fill="auto"/>
            <w:vAlign w:val="bottom"/>
          </w:tcPr>
          <w:p w:rsidR="00974902" w:rsidRDefault="00AF24A7">
            <w:pPr>
              <w:jc w:val="center"/>
            </w:pPr>
            <w:r>
              <w:t>40</w:t>
            </w:r>
          </w:p>
        </w:tc>
        <w:tc>
          <w:tcPr>
            <w:tcW w:w="1395" w:type="dxa"/>
            <w:tcBorders>
              <w:top w:val="nil"/>
              <w:bottom w:val="nil"/>
            </w:tcBorders>
            <w:vAlign w:val="bottom"/>
          </w:tcPr>
          <w:p w:rsidR="00974902" w:rsidRDefault="00974902">
            <w:pPr>
              <w:jc w:val="center"/>
            </w:pPr>
          </w:p>
        </w:tc>
      </w:tr>
      <w:tr w:rsidR="00974902" w:rsidTr="00974902">
        <w:tblPrEx>
          <w:tblLook w:val="0600" w:firstRow="0" w:lastRow="0" w:firstColumn="0" w:lastColumn="0" w:noHBand="1" w:noVBand="1"/>
        </w:tblPrEx>
        <w:trPr>
          <w:trHeight w:val="144"/>
        </w:trPr>
        <w:tc>
          <w:tcPr>
            <w:tcW w:w="7380" w:type="dxa"/>
            <w:tcBorders>
              <w:top w:val="single" w:sz="8" w:space="0" w:color="000000" w:themeColor="text1"/>
              <w:bottom w:val="single" w:sz="8" w:space="0" w:color="000000" w:themeColor="text1"/>
            </w:tcBorders>
            <w:vAlign w:val="center"/>
          </w:tcPr>
          <w:p w:rsidR="00974902" w:rsidRDefault="00AF24A7">
            <w:pPr>
              <w:pStyle w:val="BAS-Normal0"/>
              <w:jc w:val="left"/>
              <w:rPr>
                <w:b/>
              </w:rPr>
            </w:pPr>
            <w:r>
              <w:rPr>
                <w:b/>
              </w:rPr>
              <w:t>1g Core Fixed Income</w:t>
            </w: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tc>
        <w:tc>
          <w:tcPr>
            <w:tcW w:w="1395" w:type="dxa"/>
            <w:tcBorders>
              <w:top w:val="single" w:sz="8" w:space="0" w:color="000000" w:themeColor="text1"/>
              <w:bottom w:val="single" w:sz="8" w:space="0" w:color="000000" w:themeColor="text1"/>
            </w:tcBorders>
            <w:vAlign w:val="center"/>
          </w:tcPr>
          <w:p w:rsidR="00974902" w:rsidRDefault="00974902"/>
        </w:tc>
      </w:tr>
      <w:tr w:rsidR="00974902" w:rsidTr="00974902">
        <w:tblPrEx>
          <w:tblLook w:val="0600" w:firstRow="0" w:lastRow="0" w:firstColumn="0" w:lastColumn="0" w:noHBand="1" w:noVBand="1"/>
        </w:tblPrEx>
        <w:trPr>
          <w:trHeight w:val="144"/>
        </w:trPr>
        <w:tc>
          <w:tcPr>
            <w:tcW w:w="7380" w:type="dxa"/>
            <w:tcBorders>
              <w:top w:val="nil"/>
              <w:left w:val="single" w:sz="8" w:space="0" w:color="000000" w:themeColor="text1"/>
              <w:bottom w:val="nil"/>
            </w:tcBorders>
            <w:vAlign w:val="bottom"/>
          </w:tcPr>
          <w:p w:rsidR="00974902" w:rsidRDefault="00AF24A7">
            <w:pPr>
              <w:pStyle w:val="BAS-Normal0"/>
              <w:jc w:val="left"/>
            </w:pPr>
            <w:r>
              <w:t>Did Respondent provide a prospectus for this option? (YES = 100, NO = 0)</w:t>
            </w:r>
          </w:p>
        </w:tc>
        <w:tc>
          <w:tcPr>
            <w:tcW w:w="1395" w:type="dxa"/>
            <w:tcBorders>
              <w:top w:val="nil"/>
              <w:bottom w:val="nil"/>
            </w:tcBorders>
            <w:shd w:val="clear" w:color="auto" w:fill="auto"/>
            <w:vAlign w:val="bottom"/>
          </w:tcPr>
          <w:p w:rsidR="00974902" w:rsidRDefault="00974902">
            <w:pPr>
              <w:jc w:val="center"/>
            </w:pPr>
          </w:p>
        </w:tc>
        <w:tc>
          <w:tcPr>
            <w:tcW w:w="1395" w:type="dxa"/>
            <w:tcBorders>
              <w:top w:val="nil"/>
              <w:bottom w:val="single" w:sz="8" w:space="0" w:color="000000" w:themeColor="text1"/>
            </w:tcBorders>
            <w:vAlign w:val="bottom"/>
          </w:tcPr>
          <w:p w:rsidR="00974902" w:rsidRDefault="00AF24A7">
            <w:pPr>
              <w:jc w:val="center"/>
            </w:pPr>
            <w:r>
              <w:t>100</w:t>
            </w:r>
          </w:p>
        </w:tc>
      </w:tr>
      <w:tr w:rsidR="00974902" w:rsidTr="00974902">
        <w:tblPrEx>
          <w:tblLook w:val="0600" w:firstRow="0" w:lastRow="0" w:firstColumn="0" w:lastColumn="0" w:noHBand="1" w:noVBand="1"/>
        </w:tblPrEx>
        <w:trPr>
          <w:trHeight w:val="144"/>
        </w:trPr>
        <w:tc>
          <w:tcPr>
            <w:tcW w:w="7380" w:type="dxa"/>
            <w:tcBorders>
              <w:top w:val="nil"/>
              <w:bottom w:val="nil"/>
            </w:tcBorders>
            <w:vAlign w:val="bottom"/>
          </w:tcPr>
          <w:p w:rsidR="00974902" w:rsidRDefault="00AF24A7">
            <w:pPr>
              <w:pStyle w:val="BAS-Normal0"/>
              <w:jc w:val="left"/>
            </w:pPr>
            <w:r>
              <w:t>If the answer above is YES, the following elements will be evaluated:</w:t>
            </w:r>
          </w:p>
        </w:tc>
        <w:tc>
          <w:tcPr>
            <w:tcW w:w="1395" w:type="dxa"/>
            <w:tcBorders>
              <w:top w:val="nil"/>
              <w:bottom w:val="nil"/>
            </w:tcBorders>
            <w:shd w:val="clear" w:color="auto" w:fill="auto"/>
            <w:vAlign w:val="bottom"/>
          </w:tcPr>
          <w:p w:rsidR="00974902" w:rsidRDefault="00974902">
            <w:pPr>
              <w:jc w:val="center"/>
            </w:pPr>
          </w:p>
        </w:tc>
        <w:tc>
          <w:tcPr>
            <w:tcW w:w="1395" w:type="dxa"/>
            <w:tcBorders>
              <w:bottom w:val="nil"/>
            </w:tcBorders>
            <w:vAlign w:val="bottom"/>
          </w:tcPr>
          <w:p w:rsidR="00974902" w:rsidRDefault="00974902">
            <w:pPr>
              <w:jc w:val="center"/>
            </w:pPr>
          </w:p>
        </w:tc>
      </w:tr>
      <w:tr w:rsidR="00974902" w:rsidTr="00974902">
        <w:tblPrEx>
          <w:tblLook w:val="0600" w:firstRow="0" w:lastRow="0" w:firstColumn="0" w:lastColumn="0" w:noHBand="1" w:noVBand="1"/>
        </w:tblPrEx>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(1) Investment performance given investment strategy</w:t>
            </w:r>
          </w:p>
        </w:tc>
        <w:tc>
          <w:tcPr>
            <w:tcW w:w="1395" w:type="dxa"/>
            <w:tcBorders>
              <w:top w:val="nil"/>
              <w:bottom w:val="single" w:sz="8" w:space="0" w:color="000000" w:themeColor="text1"/>
            </w:tcBorders>
            <w:shd w:val="clear" w:color="auto" w:fill="auto"/>
            <w:vAlign w:val="bottom"/>
          </w:tcPr>
          <w:p w:rsidR="00974902" w:rsidRDefault="00AF24A7">
            <w:pPr>
              <w:jc w:val="center"/>
            </w:pPr>
            <w:r>
              <w:t>40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blPrEx>
          <w:tblLook w:val="0600" w:firstRow="0" w:lastRow="0" w:firstColumn="0" w:lastColumn="0" w:noHBand="1" w:noVBand="1"/>
        </w:tblPrEx>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 xml:space="preserve">(2) Experience </w:t>
            </w:r>
          </w:p>
        </w:tc>
        <w:tc>
          <w:tcPr>
            <w:tcW w:w="1395" w:type="dxa"/>
            <w:tcBorders>
              <w:top w:val="nil"/>
              <w:bottom w:val="single" w:sz="8" w:space="0" w:color="000000" w:themeColor="text1"/>
            </w:tcBorders>
            <w:shd w:val="clear" w:color="auto" w:fill="auto"/>
            <w:vAlign w:val="bottom"/>
          </w:tcPr>
          <w:p w:rsidR="00974902" w:rsidRDefault="00AF24A7">
            <w:pPr>
              <w:jc w:val="center"/>
            </w:pPr>
            <w:r>
              <w:t>20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blPrEx>
          <w:tblLook w:val="0600" w:firstRow="0" w:lastRow="0" w:firstColumn="0" w:lastColumn="0" w:noHBand="1" w:noVBand="1"/>
        </w:tblPrEx>
        <w:trPr>
          <w:trHeight w:val="144"/>
        </w:trPr>
        <w:tc>
          <w:tcPr>
            <w:tcW w:w="7380" w:type="dxa"/>
            <w:tcBorders>
              <w:top w:val="nil"/>
              <w:left w:val="single" w:sz="8" w:space="0" w:color="000000" w:themeColor="text1"/>
              <w:bottom w:val="nil"/>
            </w:tcBorders>
            <w:vAlign w:val="bottom"/>
          </w:tcPr>
          <w:p w:rsidR="00974902" w:rsidRDefault="00AF24A7">
            <w:pPr>
              <w:pStyle w:val="BAS-Normal0"/>
              <w:ind w:left="720"/>
              <w:jc w:val="left"/>
            </w:pPr>
            <w:r>
              <w:t>(3) Fees</w:t>
            </w:r>
          </w:p>
        </w:tc>
        <w:tc>
          <w:tcPr>
            <w:tcW w:w="1395" w:type="dxa"/>
            <w:tcBorders>
              <w:top w:val="nil"/>
              <w:bottom w:val="single" w:sz="8" w:space="0" w:color="000000" w:themeColor="text1"/>
            </w:tcBorders>
            <w:shd w:val="clear" w:color="auto" w:fill="auto"/>
            <w:vAlign w:val="bottom"/>
          </w:tcPr>
          <w:p w:rsidR="00974902" w:rsidRDefault="00AF24A7">
            <w:pPr>
              <w:jc w:val="center"/>
            </w:pPr>
            <w:r>
              <w:t>40</w:t>
            </w:r>
          </w:p>
        </w:tc>
        <w:tc>
          <w:tcPr>
            <w:tcW w:w="1395" w:type="dxa"/>
            <w:tcBorders>
              <w:top w:val="nil"/>
              <w:bottom w:val="nil"/>
              <w:right w:val="single" w:sz="8" w:space="0" w:color="000000" w:themeColor="text1"/>
            </w:tcBorders>
            <w:vAlign w:val="bottom"/>
          </w:tcPr>
          <w:p w:rsidR="00974902" w:rsidRDefault="00974902">
            <w:pPr>
              <w:jc w:val="center"/>
            </w:pPr>
          </w:p>
        </w:tc>
      </w:tr>
      <w:tr w:rsidR="00974902" w:rsidTr="00974902">
        <w:tblPrEx>
          <w:tblLook w:val="0600" w:firstRow="0" w:lastRow="0" w:firstColumn="0" w:lastColumn="0" w:noHBand="1" w:noVBand="1"/>
        </w:tblPrEx>
        <w:trPr>
          <w:trHeight w:val="67"/>
        </w:trPr>
        <w:tc>
          <w:tcPr>
            <w:tcW w:w="7380" w:type="dxa"/>
            <w:tcBorders>
              <w:bottom w:val="single" w:sz="8" w:space="0" w:color="000000" w:themeColor="text1"/>
            </w:tcBorders>
          </w:tcPr>
          <w:p w:rsidR="00974902" w:rsidRDefault="00974902">
            <w:pPr>
              <w:pStyle w:val="BAS-Normal0"/>
              <w:rPr>
                <w:sz w:val="2"/>
                <w:szCs w:val="2"/>
              </w:rPr>
            </w:pPr>
          </w:p>
        </w:tc>
        <w:tc>
          <w:tcPr>
            <w:tcW w:w="1395" w:type="dxa"/>
            <w:tcBorders>
              <w:bottom w:val="single" w:sz="8" w:space="0" w:color="000000" w:themeColor="text1"/>
            </w:tcBorders>
            <w:shd w:val="clear" w:color="auto" w:fill="auto"/>
          </w:tcPr>
          <w:p w:rsidR="00974902" w:rsidRDefault="00974902">
            <w:pPr>
              <w:jc w:val="center"/>
              <w:rPr>
                <w:sz w:val="2"/>
                <w:szCs w:val="2"/>
              </w:rPr>
            </w:pPr>
          </w:p>
        </w:tc>
        <w:tc>
          <w:tcPr>
            <w:tcW w:w="1395" w:type="dxa"/>
            <w:tcBorders>
              <w:bottom w:val="single" w:sz="8" w:space="0" w:color="000000" w:themeColor="text1"/>
            </w:tcBorders>
          </w:tcPr>
          <w:p w:rsidR="00974902" w:rsidRDefault="00974902">
            <w:pPr>
              <w:jc w:val="center"/>
              <w:rPr>
                <w:sz w:val="2"/>
                <w:szCs w:val="2"/>
              </w:rPr>
            </w:pPr>
          </w:p>
        </w:tc>
      </w:tr>
      <w:tr w:rsidR="00974902" w:rsidTr="00974902">
        <w:tblPrEx>
          <w:tblLook w:val="0600" w:firstRow="0" w:lastRow="0" w:firstColumn="0" w:lastColumn="0" w:noHBand="1" w:noVBand="1"/>
        </w:tblPrEx>
        <w:trPr>
          <w:trHeight w:val="144"/>
        </w:trPr>
        <w:tc>
          <w:tcPr>
            <w:tcW w:w="7380" w:type="dxa"/>
            <w:tcBorders>
              <w:top w:val="single" w:sz="8" w:space="0" w:color="000000" w:themeColor="text1"/>
              <w:bottom w:val="single" w:sz="8" w:space="0" w:color="000000" w:themeColor="text1"/>
              <w:right w:val="single" w:sz="8" w:space="0" w:color="000000" w:themeColor="text1"/>
            </w:tcBorders>
            <w:vAlign w:val="center"/>
          </w:tcPr>
          <w:p w:rsidR="00974902" w:rsidRDefault="00AF24A7">
            <w:pPr>
              <w:pStyle w:val="BAS-Normal0"/>
              <w:jc w:val="left"/>
              <w:rPr>
                <w:b/>
              </w:rPr>
            </w:pPr>
            <w:r>
              <w:rPr>
                <w:b/>
              </w:rPr>
              <w:t>Subtotal (1), (2),  and (3)</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974902" w:rsidRDefault="00AF24A7">
            <w:pPr>
              <w:jc w:val="center"/>
              <w:rPr>
                <w:b/>
              </w:rPr>
            </w:pPr>
            <w:r>
              <w:rPr>
                <w:b/>
              </w:rPr>
              <w:t>700</w:t>
            </w:r>
          </w:p>
        </w:tc>
        <w:tc>
          <w:tcPr>
            <w:tcW w:w="1395" w:type="dxa"/>
            <w:tcBorders>
              <w:top w:val="single" w:sz="8" w:space="0" w:color="000000" w:themeColor="text1"/>
              <w:left w:val="single" w:sz="8" w:space="0" w:color="000000" w:themeColor="text1"/>
              <w:bottom w:val="single" w:sz="8" w:space="0" w:color="000000" w:themeColor="text1"/>
            </w:tcBorders>
            <w:vAlign w:val="center"/>
          </w:tcPr>
          <w:p w:rsidR="00974902" w:rsidRDefault="00AF24A7">
            <w:pPr>
              <w:jc w:val="center"/>
              <w:rPr>
                <w:b/>
              </w:rPr>
            </w:pPr>
            <w:r>
              <w:rPr>
                <w:b/>
              </w:rPr>
              <w:t>700</w:t>
            </w:r>
          </w:p>
        </w:tc>
      </w:tr>
      <w:tr w:rsidR="00974902" w:rsidTr="00974902">
        <w:tblPrEx>
          <w:tblLook w:val="0600" w:firstRow="0" w:lastRow="0" w:firstColumn="0" w:lastColumn="0" w:noHBand="1" w:noVBand="1"/>
        </w:tblPrEx>
        <w:trPr>
          <w:trHeight w:val="67"/>
        </w:trPr>
        <w:tc>
          <w:tcPr>
            <w:tcW w:w="7380" w:type="dxa"/>
            <w:tcBorders>
              <w:top w:val="single" w:sz="8" w:space="0" w:color="000000" w:themeColor="text1"/>
              <w:bottom w:val="single" w:sz="8" w:space="0" w:color="000000" w:themeColor="text1"/>
            </w:tcBorders>
            <w:vAlign w:val="center"/>
          </w:tcPr>
          <w:p w:rsidR="00974902" w:rsidRDefault="00974902">
            <w:pPr>
              <w:pStyle w:val="BAS-Normal0"/>
              <w:jc w:val="left"/>
              <w:rPr>
                <w:b/>
                <w:sz w:val="2"/>
                <w:szCs w:val="2"/>
              </w:rPr>
            </w:pPr>
          </w:p>
        </w:tc>
        <w:tc>
          <w:tcPr>
            <w:tcW w:w="1395" w:type="dxa"/>
            <w:tcBorders>
              <w:top w:val="single" w:sz="8" w:space="0" w:color="000000" w:themeColor="text1"/>
              <w:bottom w:val="single" w:sz="8" w:space="0" w:color="000000" w:themeColor="text1"/>
            </w:tcBorders>
            <w:shd w:val="clear" w:color="auto" w:fill="auto"/>
            <w:vAlign w:val="center"/>
          </w:tcPr>
          <w:p w:rsidR="00974902" w:rsidRDefault="00974902">
            <w:pPr>
              <w:rPr>
                <w:sz w:val="2"/>
                <w:szCs w:val="2"/>
              </w:rPr>
            </w:pPr>
          </w:p>
        </w:tc>
        <w:tc>
          <w:tcPr>
            <w:tcW w:w="1395" w:type="dxa"/>
            <w:tcBorders>
              <w:top w:val="single" w:sz="8" w:space="0" w:color="000000" w:themeColor="text1"/>
              <w:bottom w:val="single" w:sz="8" w:space="0" w:color="000000" w:themeColor="text1"/>
            </w:tcBorders>
            <w:vAlign w:val="center"/>
          </w:tcPr>
          <w:p w:rsidR="00974902" w:rsidRDefault="00974902">
            <w:pPr>
              <w:rPr>
                <w:sz w:val="2"/>
                <w:szCs w:val="2"/>
              </w:rPr>
            </w:pPr>
          </w:p>
        </w:tc>
      </w:tr>
      <w:tr w:rsidR="00974902" w:rsidTr="00974902">
        <w:trPr>
          <w:cnfStyle w:val="000000100000" w:firstRow="0" w:lastRow="0" w:firstColumn="0" w:lastColumn="0" w:oddVBand="0" w:evenVBand="0" w:oddHBand="1" w:evenHBand="0" w:firstRowFirstColumn="0" w:firstRowLastColumn="0" w:lastRowFirstColumn="0" w:lastRowLastColumn="0"/>
          <w:trHeight w:val="144"/>
        </w:trPr>
        <w:tc>
          <w:tcPr>
            <w:tcW w:w="7380" w:type="dxa"/>
            <w:vAlign w:val="center"/>
          </w:tcPr>
          <w:p w:rsidR="00974902" w:rsidRDefault="00AF24A7">
            <w:pPr>
              <w:pStyle w:val="BAS-Normal0"/>
              <w:jc w:val="left"/>
              <w:rPr>
                <w:b/>
              </w:rPr>
            </w:pPr>
            <w:r>
              <w:rPr>
                <w:b/>
              </w:rPr>
              <w:t>(4) Financial Stability – Score (c)</w:t>
            </w:r>
          </w:p>
        </w:tc>
        <w:tc>
          <w:tcPr>
            <w:tcW w:w="1395" w:type="dxa"/>
            <w:shd w:val="clear" w:color="auto" w:fill="auto"/>
            <w:vAlign w:val="center"/>
          </w:tcPr>
          <w:p w:rsidR="00974902" w:rsidRDefault="00974902"/>
        </w:tc>
        <w:tc>
          <w:tcPr>
            <w:tcW w:w="1395" w:type="dxa"/>
            <w:vAlign w:val="center"/>
          </w:tcPr>
          <w:p w:rsidR="00974902" w:rsidRDefault="00AF24A7">
            <w:pPr>
              <w:jc w:val="center"/>
              <w:rPr>
                <w:rFonts w:ascii="Century Gothic" w:hAnsi="Century Gothic"/>
                <w:b/>
                <w:sz w:val="20"/>
                <w:szCs w:val="23"/>
              </w:rPr>
            </w:pPr>
            <w:r>
              <w:rPr>
                <w:rFonts w:ascii="Century Gothic" w:hAnsi="Century Gothic"/>
                <w:b/>
                <w:sz w:val="20"/>
                <w:szCs w:val="23"/>
              </w:rPr>
              <w:t>15</w:t>
            </w:r>
          </w:p>
        </w:tc>
      </w:tr>
      <w:tr w:rsidR="00974902" w:rsidTr="00974902">
        <w:trPr>
          <w:cnfStyle w:val="010000000000" w:firstRow="0" w:lastRow="1" w:firstColumn="0" w:lastColumn="0" w:oddVBand="0" w:evenVBand="0" w:oddHBand="0" w:evenHBand="0" w:firstRowFirstColumn="0" w:firstRowLastColumn="0" w:lastRowFirstColumn="0" w:lastRowLastColumn="0"/>
          <w:trHeight w:val="144"/>
        </w:trPr>
        <w:tc>
          <w:tcPr>
            <w:tcW w:w="7380" w:type="dxa"/>
            <w:tcBorders>
              <w:top w:val="single" w:sz="8" w:space="0" w:color="000000" w:themeColor="text1"/>
            </w:tcBorders>
            <w:vAlign w:val="center"/>
          </w:tcPr>
          <w:p w:rsidR="00974902" w:rsidRDefault="00AF24A7">
            <w:pPr>
              <w:pStyle w:val="BAS-Normal0"/>
              <w:jc w:val="left"/>
            </w:pPr>
            <w:r>
              <w:t>(5) Ability t</w:t>
            </w:r>
            <w:r w:rsidR="00C83816">
              <w:t>o meet the needs</w:t>
            </w:r>
            <w:r>
              <w:t xml:space="preserve"> – Score (d)</w:t>
            </w:r>
          </w:p>
        </w:tc>
        <w:tc>
          <w:tcPr>
            <w:tcW w:w="1395" w:type="dxa"/>
            <w:tcBorders>
              <w:top w:val="single" w:sz="8" w:space="0" w:color="000000" w:themeColor="text1"/>
            </w:tcBorders>
            <w:shd w:val="clear" w:color="auto" w:fill="auto"/>
            <w:vAlign w:val="center"/>
          </w:tcPr>
          <w:p w:rsidR="00974902" w:rsidRDefault="00974902"/>
        </w:tc>
        <w:tc>
          <w:tcPr>
            <w:tcW w:w="1395" w:type="dxa"/>
            <w:tcBorders>
              <w:top w:val="single" w:sz="8" w:space="0" w:color="000000" w:themeColor="text1"/>
            </w:tcBorders>
            <w:vAlign w:val="center"/>
          </w:tcPr>
          <w:p w:rsidR="00974902" w:rsidRDefault="00AF24A7">
            <w:pPr>
              <w:jc w:val="center"/>
            </w:pPr>
            <w:r>
              <w:rPr>
                <w:rFonts w:ascii="Century Gothic" w:hAnsi="Century Gothic"/>
                <w:sz w:val="20"/>
                <w:szCs w:val="23"/>
              </w:rPr>
              <w:t>25</w:t>
            </w:r>
          </w:p>
        </w:tc>
      </w:tr>
    </w:tbl>
    <w:p w:rsidR="00974902" w:rsidRDefault="00AF24A7">
      <w:pPr>
        <w:pStyle w:val="BAS-Normal0"/>
      </w:pPr>
      <w:r>
        <w:lastRenderedPageBreak/>
        <w:t xml:space="preserve">The Total Annual Operating fees for each replication strategy proposed by the Respondent (in bps) will be evaluated and points will be awarded for each fee based on the following formula. The maximum of 40 total points will be awarded for the lowest fee proposed for a given mandate. </w:t>
      </w:r>
      <w:r w:rsidRPr="0023582C">
        <w:t xml:space="preserve">(Fee proposals will </w:t>
      </w:r>
      <w:r w:rsidR="00E72210">
        <w:t xml:space="preserve">be awarded using </w:t>
      </w:r>
      <w:r w:rsidRPr="0023582C">
        <w:t>a weighted average fee based on assets under management (AUM) for each plan.)</w:t>
      </w:r>
      <w:r>
        <w:t xml:space="preserve"> The score for any replication strategy for which a Respondent does not reply shall be zero (0). Please note that shareholder fees and/or other fee or fee structure information provided in the Response will be considered when scoring the Respondent’s ability to meet the needs of the Board.  </w:t>
      </w:r>
    </w:p>
    <w:p w:rsidR="00974902" w:rsidRDefault="00974902">
      <w:pPr>
        <w:pStyle w:val="BAS-Normal0"/>
        <w:rPr>
          <w:b/>
        </w:rPr>
      </w:pPr>
    </w:p>
    <w:p w:rsidR="00974902" w:rsidRDefault="00AF24A7">
      <w:pPr>
        <w:pStyle w:val="BAS-Normal0"/>
        <w:rPr>
          <w:b/>
        </w:rPr>
      </w:pPr>
      <w:r>
        <w:rPr>
          <w:b/>
        </w:rPr>
        <w:t>Formula to Determine Fee Score</w:t>
      </w:r>
    </w:p>
    <w:p w:rsidR="00974902" w:rsidRDefault="00AF24A7">
      <w:pPr>
        <w:pStyle w:val="BAS-Normal0"/>
      </w:pPr>
      <w:r>
        <w:t>(X/N) x 40 = Z; where:</w:t>
      </w:r>
    </w:p>
    <w:p w:rsidR="00974902" w:rsidRDefault="00AF24A7">
      <w:pPr>
        <w:pStyle w:val="BAS-Normal0"/>
      </w:pPr>
      <w:r>
        <w:t>X = Lowest Fee;</w:t>
      </w:r>
    </w:p>
    <w:p w:rsidR="00974902" w:rsidRDefault="00AF24A7">
      <w:pPr>
        <w:pStyle w:val="BAS-Normal0"/>
      </w:pPr>
      <w:r>
        <w:t>N = Proposed Fee;</w:t>
      </w:r>
    </w:p>
    <w:p w:rsidR="00974902" w:rsidRDefault="00AF24A7">
      <w:pPr>
        <w:pStyle w:val="BAS-Normal0"/>
      </w:pPr>
      <w:r>
        <w:t>Z = Points awarded points</w:t>
      </w:r>
    </w:p>
    <w:p w:rsidR="00974902" w:rsidRDefault="00974902">
      <w:pPr>
        <w:pStyle w:val="BAS-Normal0"/>
      </w:pPr>
    </w:p>
    <w:p w:rsidR="00974902" w:rsidRDefault="00AF24A7">
      <w:pPr>
        <w:pStyle w:val="BAS-Normal0"/>
      </w:pPr>
      <w:r>
        <w:t xml:space="preserve">The total score for the Respondent will be awarded based on the formula provided </w:t>
      </w:r>
      <w:r>
        <w:rPr>
          <w:noProof/>
        </w:rPr>
        <w:t>below</w:t>
      </w:r>
      <w:r>
        <w:t xml:space="preserve">. A maximum of 100 total points, per evaluator, may be awarded. </w:t>
      </w:r>
    </w:p>
    <w:p w:rsidR="00974902" w:rsidRDefault="00974902">
      <w:pPr>
        <w:pStyle w:val="BAS-Normal0"/>
      </w:pPr>
    </w:p>
    <w:tbl>
      <w:tblPr>
        <w:tblStyle w:val="TableGrid"/>
        <w:tblW w:w="0" w:type="auto"/>
        <w:tblLook w:val="04A0" w:firstRow="1" w:lastRow="0" w:firstColumn="1" w:lastColumn="0" w:noHBand="0" w:noVBand="1"/>
      </w:tblPr>
      <w:tblGrid>
        <w:gridCol w:w="5148"/>
        <w:gridCol w:w="5148"/>
      </w:tblGrid>
      <w:tr w:rsidR="00974902">
        <w:tc>
          <w:tcPr>
            <w:tcW w:w="5148" w:type="dxa"/>
            <w:shd w:val="clear" w:color="auto" w:fill="000000" w:themeFill="text1"/>
          </w:tcPr>
          <w:p w:rsidR="00974902" w:rsidRDefault="00AF24A7">
            <w:pPr>
              <w:pStyle w:val="BAS-Normal0"/>
              <w:jc w:val="center"/>
              <w:rPr>
                <w:b/>
                <w:color w:val="FFFFFF" w:themeColor="background1"/>
              </w:rPr>
            </w:pPr>
            <w:r>
              <w:rPr>
                <w:b/>
                <w:color w:val="FFFFFF" w:themeColor="background1"/>
              </w:rPr>
              <w:t>Formula</w:t>
            </w:r>
          </w:p>
        </w:tc>
        <w:tc>
          <w:tcPr>
            <w:tcW w:w="5148" w:type="dxa"/>
            <w:shd w:val="clear" w:color="auto" w:fill="000000" w:themeFill="text1"/>
          </w:tcPr>
          <w:p w:rsidR="00974902" w:rsidRDefault="00AF24A7">
            <w:pPr>
              <w:pStyle w:val="BAS-Normal0"/>
              <w:jc w:val="center"/>
              <w:rPr>
                <w:b/>
                <w:color w:val="FFFFFF" w:themeColor="background1"/>
              </w:rPr>
            </w:pPr>
            <w:r>
              <w:rPr>
                <w:b/>
                <w:color w:val="FFFFFF" w:themeColor="background1"/>
              </w:rPr>
              <w:t xml:space="preserve">Maximum Points </w:t>
            </w:r>
          </w:p>
        </w:tc>
      </w:tr>
      <w:tr w:rsidR="00974902">
        <w:tc>
          <w:tcPr>
            <w:tcW w:w="5148" w:type="dxa"/>
          </w:tcPr>
          <w:p w:rsidR="00974902" w:rsidRDefault="00974902">
            <w:pPr>
              <w:pStyle w:val="BAS-Normal0"/>
              <w:jc w:val="center"/>
            </w:pPr>
          </w:p>
          <w:p w:rsidR="00974902" w:rsidRDefault="00AF24A7">
            <w:pPr>
              <w:pStyle w:val="BAS-Normal0"/>
              <w:jc w:val="center"/>
            </w:pPr>
            <w:r>
              <w:t>Score (a) / Possible (b) = Multiplier</w:t>
            </w:r>
          </w:p>
          <w:p w:rsidR="00974902" w:rsidRDefault="00974902">
            <w:pPr>
              <w:pStyle w:val="BAS-Normal0"/>
              <w:jc w:val="center"/>
            </w:pPr>
          </w:p>
          <w:p w:rsidR="00974902" w:rsidRDefault="00AF24A7">
            <w:pPr>
              <w:pStyle w:val="BAS-Normal0"/>
              <w:jc w:val="center"/>
            </w:pPr>
            <w:r>
              <w:t>Multiplier x 60 = Score (a/b)</w:t>
            </w:r>
          </w:p>
          <w:p w:rsidR="00974902" w:rsidRDefault="00974902">
            <w:pPr>
              <w:pStyle w:val="BAS-Normal0"/>
              <w:jc w:val="center"/>
            </w:pPr>
          </w:p>
          <w:p w:rsidR="00974902" w:rsidRDefault="00AF24A7">
            <w:pPr>
              <w:pStyle w:val="BAS-Normal0"/>
              <w:jc w:val="center"/>
            </w:pPr>
            <w:r>
              <w:t>Score (a/b) + Score (c) + Score (d) =  Total Score</w:t>
            </w:r>
          </w:p>
          <w:p w:rsidR="00974902" w:rsidRDefault="00974902">
            <w:pPr>
              <w:pStyle w:val="BAS-Normal0"/>
              <w:jc w:val="center"/>
            </w:pPr>
          </w:p>
        </w:tc>
        <w:tc>
          <w:tcPr>
            <w:tcW w:w="5148" w:type="dxa"/>
          </w:tcPr>
          <w:p w:rsidR="00974902" w:rsidRDefault="00974902">
            <w:pPr>
              <w:pStyle w:val="BAS-Normal0"/>
              <w:jc w:val="center"/>
            </w:pPr>
          </w:p>
          <w:p w:rsidR="00974902" w:rsidRDefault="00AF24A7">
            <w:pPr>
              <w:pStyle w:val="BAS-Normal0"/>
              <w:jc w:val="center"/>
            </w:pPr>
            <w:r>
              <w:t>700  /  700  = 1.00</w:t>
            </w:r>
          </w:p>
          <w:p w:rsidR="00974902" w:rsidRDefault="00974902">
            <w:pPr>
              <w:pStyle w:val="BAS-Normal0"/>
              <w:jc w:val="center"/>
            </w:pPr>
          </w:p>
          <w:p w:rsidR="00974902" w:rsidRDefault="00AF24A7">
            <w:pPr>
              <w:pStyle w:val="BAS-Normal0"/>
              <w:jc w:val="center"/>
            </w:pPr>
            <w:r>
              <w:t>1.00  x  60  =  60</w:t>
            </w:r>
          </w:p>
          <w:p w:rsidR="00974902" w:rsidRDefault="00974902">
            <w:pPr>
              <w:pStyle w:val="BAS-Normal0"/>
              <w:jc w:val="center"/>
            </w:pPr>
          </w:p>
          <w:p w:rsidR="00974902" w:rsidRDefault="00AF24A7">
            <w:pPr>
              <w:pStyle w:val="BAS-Normal0"/>
              <w:jc w:val="center"/>
            </w:pPr>
            <w:r>
              <w:t xml:space="preserve">60  +  15  +  25  = </w:t>
            </w:r>
            <w:r>
              <w:rPr>
                <w:b/>
                <w:u w:val="single"/>
              </w:rPr>
              <w:t>100</w:t>
            </w:r>
          </w:p>
        </w:tc>
      </w:tr>
    </w:tbl>
    <w:p w:rsidR="00974902" w:rsidRDefault="00974902">
      <w:pPr>
        <w:pStyle w:val="BAS-Normal0"/>
      </w:pPr>
    </w:p>
    <w:p w:rsidR="00974902" w:rsidRDefault="00AF24A7">
      <w:pPr>
        <w:pStyle w:val="BAS-Normal0"/>
      </w:pPr>
      <w:r>
        <w:t>For any and all scores determined by calculation, including the calculation to determine fee scores, the points awarded will be rounded to the nearest whole number. Decimal values less than 0.50 will be rounded down to the next whole number; decimal values greater than, or equal to, 0.50 will be rounded up to the next whole number. For example, a value of 20.49 would be rounded to 20. A value of 20.50 would be rounded to 21. The minimum possible calculated points awarded will be 0.</w:t>
      </w:r>
      <w:bookmarkStart w:id="56" w:name="_Toc422293223"/>
    </w:p>
    <w:p w:rsidR="00AF24A7" w:rsidRDefault="00AF24A7">
      <w:pPr>
        <w:pStyle w:val="BAS-Normal0"/>
      </w:pPr>
    </w:p>
    <w:p w:rsidR="00974902" w:rsidRDefault="00AF24A7">
      <w:pPr>
        <w:pStyle w:val="BAS-Heading3"/>
      </w:pPr>
      <w:bookmarkStart w:id="57" w:name="_Toc481766546"/>
      <w:r>
        <w:t>Evaluation Step 3: Ranking and Shortlisting</w:t>
      </w:r>
      <w:bookmarkEnd w:id="56"/>
      <w:bookmarkEnd w:id="57"/>
    </w:p>
    <w:p w:rsidR="00974902" w:rsidRDefault="00AF24A7">
      <w:pPr>
        <w:pStyle w:val="BAS-Normal0"/>
      </w:pPr>
      <w:r>
        <w:t xml:space="preserve">After the Response evaluations are complete, the total score awarded by each Evaluation Team member will be validated pursuant to the schedule in Section 4.0 and then aggregated. The Respondents will be ranked based on their aggregate scores. </w:t>
      </w:r>
    </w:p>
    <w:p w:rsidR="00974902" w:rsidRDefault="00974902">
      <w:pPr>
        <w:pStyle w:val="BAS-Normal0"/>
      </w:pPr>
    </w:p>
    <w:p w:rsidR="00974902" w:rsidRDefault="00AF24A7">
      <w:pPr>
        <w:pStyle w:val="BAS-Normal0"/>
      </w:pPr>
      <w:r>
        <w:t>The Board intends to select the three highest-ranked Respondents (“shortlist”), but may adjust the quantity to accommodate a competitive range, for negotiation. The Board reserves the right, after posting notice thereof, to expand the shortlist to include additional responsive Respondents. The Board expressly reserves the right to accept or reject any and all Responses and to award the contract in the best interests of the Board.</w:t>
      </w:r>
    </w:p>
    <w:p w:rsidR="00974902" w:rsidRDefault="00974902">
      <w:pPr>
        <w:pStyle w:val="BAS-Normal0"/>
      </w:pPr>
    </w:p>
    <w:p w:rsidR="00974902" w:rsidRDefault="00AF24A7">
      <w:pPr>
        <w:pStyle w:val="BAS-Normal0"/>
      </w:pPr>
      <w:r>
        <w:t>Be advised, Respondents will not be eliminated from the ITN process until posting of the Notice of Intent to Award.</w:t>
      </w:r>
    </w:p>
    <w:p w:rsidR="00974902" w:rsidRDefault="00974902">
      <w:pPr>
        <w:pStyle w:val="BAS-Normal0"/>
      </w:pPr>
    </w:p>
    <w:p w:rsidR="00974902" w:rsidRDefault="00AF24A7">
      <w:pPr>
        <w:pStyle w:val="BAS-Heading2"/>
      </w:pPr>
      <w:bookmarkStart w:id="58" w:name="_Toc422293224"/>
      <w:bookmarkStart w:id="59" w:name="_Toc481766547"/>
      <w:r>
        <w:lastRenderedPageBreak/>
        <w:t>Negotiation</w:t>
      </w:r>
      <w:bookmarkEnd w:id="58"/>
      <w:bookmarkEnd w:id="59"/>
    </w:p>
    <w:p w:rsidR="00974902" w:rsidRDefault="00AF24A7">
      <w:pPr>
        <w:pStyle w:val="BAS-Heading3"/>
      </w:pPr>
      <w:bookmarkStart w:id="60" w:name="_Toc481766548"/>
      <w:r>
        <w:t>Negotiation Meeting(s)</w:t>
      </w:r>
      <w:bookmarkEnd w:id="60"/>
    </w:p>
    <w:p w:rsidR="00974902" w:rsidRDefault="00AF24A7">
      <w:pPr>
        <w:pStyle w:val="BAS-Normal0"/>
      </w:pPr>
      <w:r>
        <w:t xml:space="preserve">The Board intends to participate in at least one (1) telephone conference with each of the selected Respondent(s) scheduled pursuant to Section 4.0. During the Negotiation Phase, the Board may request supplemental information and/or best and final offers based on the negotiations. Further information, including a scope and agenda for the call(s), will be provided with the Notice of Intent to Negotiate to the Respondent(s) selected to the shortlist. The Board prefers that the Respondent representation participating in the call include the portfolio manager(s), but this is not required. At a minimum, the representative(s) shall be familiar with the portfolio(s). </w:t>
      </w:r>
    </w:p>
    <w:p w:rsidR="00974902" w:rsidRDefault="00974902">
      <w:pPr>
        <w:pStyle w:val="BAS-Normal0"/>
      </w:pPr>
    </w:p>
    <w:p w:rsidR="00974902" w:rsidRDefault="00AF24A7">
      <w:pPr>
        <w:pStyle w:val="BAS-Normal0"/>
      </w:pPr>
      <w:r>
        <w:t>The Negotiation Team may consider information received from Callan Associates, Inc. (Callan), an investment consultant for the Board. Callan may provide factual information relating to the historical investment performance of the Respondent, including investment returns for the portfolio attributes and consistency of performance. Callan may also provide factual information related to the experience, background, and staffing of the Respondent. Any information provided by Callan will be based on the responsive replies to this ITN and information possessed by Callan through a normal course of business. Callan will not make any decisions on behalf of the Board.</w:t>
      </w:r>
    </w:p>
    <w:p w:rsidR="00974902" w:rsidRDefault="00974902">
      <w:pPr>
        <w:pStyle w:val="BAS-Normal0"/>
      </w:pPr>
    </w:p>
    <w:p w:rsidR="00974902" w:rsidRDefault="00AF24A7">
      <w:pPr>
        <w:pStyle w:val="BAS-Heading3"/>
      </w:pPr>
      <w:bookmarkStart w:id="61" w:name="_Toc422293227"/>
      <w:bookmarkStart w:id="62" w:name="_Toc481766549"/>
      <w:r>
        <w:t>Contract Negotiation</w:t>
      </w:r>
      <w:bookmarkEnd w:id="61"/>
      <w:bookmarkEnd w:id="62"/>
    </w:p>
    <w:p w:rsidR="00974902" w:rsidRDefault="00AF24A7">
      <w:pPr>
        <w:pStyle w:val="BAS-Normal0"/>
      </w:pPr>
      <w:r>
        <w:t>The Board intends to initially negotiate with the shortlist Respondent(s) concurrently. However, the Board reserves the right, after posting notice thereof, to expand the shortlist to include additional responsive Respondents for negotiation or change the method of negotiation (e.g., concurrent versus by order of ranking), and evaluation criteria if it determines that to do such would be in the best interest of the Board. When negotiations have been completed, the Board will award the contract(s) to the responsive and responsible Respondent(s) that the Board determines will provide the best value. The Board will post its Notice of Intent to Award or its notice informing of its decision that all Responses have been rejected pursuant to Section 3.1.</w:t>
      </w:r>
    </w:p>
    <w:p w:rsidR="00974902" w:rsidRDefault="00974902">
      <w:pPr>
        <w:pStyle w:val="BAS-Normal0"/>
      </w:pPr>
    </w:p>
    <w:p w:rsidR="00974902" w:rsidRDefault="00AF24A7">
      <w:pPr>
        <w:pStyle w:val="BAS-Normal0"/>
      </w:pPr>
      <w:r>
        <w:t>The Board reserves the right to change the members of the Negotiation Team in its sole discretion.</w:t>
      </w:r>
    </w:p>
    <w:p w:rsidR="00974902" w:rsidRDefault="00974902">
      <w:pPr>
        <w:pStyle w:val="BAS-Normal0"/>
      </w:pPr>
    </w:p>
    <w:p w:rsidR="00974902" w:rsidRDefault="00AF24A7">
      <w:pPr>
        <w:pStyle w:val="BAS-Heading3"/>
      </w:pPr>
      <w:bookmarkStart w:id="63" w:name="_Toc422293228"/>
      <w:bookmarkStart w:id="64" w:name="_Toc481766550"/>
      <w:r>
        <w:t>Board Rights During Negotiations</w:t>
      </w:r>
      <w:bookmarkEnd w:id="63"/>
      <w:bookmarkEnd w:id="64"/>
    </w:p>
    <w:p w:rsidR="00974902" w:rsidRDefault="00AF24A7">
      <w:pPr>
        <w:pStyle w:val="BAS-Normal0"/>
      </w:pPr>
      <w:r>
        <w:t>At any time during the negotiation process, the reserved rights of the Board include but are not limited to:</w:t>
      </w:r>
    </w:p>
    <w:p w:rsidR="00974902" w:rsidRDefault="00AF24A7">
      <w:pPr>
        <w:pStyle w:val="BAS-Normal0"/>
        <w:numPr>
          <w:ilvl w:val="0"/>
          <w:numId w:val="4"/>
        </w:numPr>
        <w:ind w:left="810" w:hanging="810"/>
      </w:pPr>
      <w:r>
        <w:t>Schedule additional negotiating sessions with any or all Respondent(s);</w:t>
      </w:r>
    </w:p>
    <w:p w:rsidR="00974902" w:rsidRDefault="00AF24A7">
      <w:pPr>
        <w:pStyle w:val="BAS-Normal0"/>
        <w:numPr>
          <w:ilvl w:val="0"/>
          <w:numId w:val="4"/>
        </w:numPr>
        <w:ind w:left="810" w:hanging="810"/>
      </w:pPr>
      <w:r>
        <w:t>Require any or all Respondent(s) to provide additional or revised replies and detailed written proposals addressing specified topics;</w:t>
      </w:r>
    </w:p>
    <w:p w:rsidR="00974902" w:rsidRDefault="00AF24A7">
      <w:pPr>
        <w:pStyle w:val="BAS-Normal0"/>
        <w:numPr>
          <w:ilvl w:val="0"/>
          <w:numId w:val="4"/>
        </w:numPr>
        <w:ind w:left="810" w:hanging="810"/>
      </w:pPr>
      <w:r>
        <w:t>Require any or all Respondent(s) to provide a written best and final offer;</w:t>
      </w:r>
    </w:p>
    <w:p w:rsidR="00974902" w:rsidRDefault="00AF24A7">
      <w:pPr>
        <w:pStyle w:val="BAS-Normal0"/>
        <w:numPr>
          <w:ilvl w:val="0"/>
          <w:numId w:val="4"/>
        </w:numPr>
        <w:ind w:left="810" w:hanging="810"/>
      </w:pPr>
      <w:r>
        <w:t>Require any or all Respondent(s) to address services, prices, or conditions offered by any other Respondent;</w:t>
      </w:r>
    </w:p>
    <w:p w:rsidR="00974902" w:rsidRDefault="00AF24A7">
      <w:pPr>
        <w:pStyle w:val="BAS-Normal0"/>
        <w:numPr>
          <w:ilvl w:val="0"/>
          <w:numId w:val="4"/>
        </w:numPr>
        <w:ind w:left="810" w:hanging="810"/>
      </w:pPr>
      <w:r>
        <w:t>Pursue a contract with one or more Respondent(s) for the services encompassed by this solicitation, any addenda thereto, and any request for additional or revised detailed written proposals or request for best and final offers;</w:t>
      </w:r>
    </w:p>
    <w:p w:rsidR="00974902" w:rsidRDefault="00AF24A7">
      <w:pPr>
        <w:pStyle w:val="BAS-Normal0"/>
        <w:numPr>
          <w:ilvl w:val="0"/>
          <w:numId w:val="4"/>
        </w:numPr>
        <w:ind w:left="810" w:hanging="810"/>
      </w:pPr>
      <w:r>
        <w:t>Arrive at an agreement with any Respondent, finalize principal contract terms with such Respondent and terminate negotiations with any or all other Respondents, regardless of the status of or scheduled negotiations with such other Respondent(s);</w:t>
      </w:r>
    </w:p>
    <w:p w:rsidR="00974902" w:rsidRDefault="00AF24A7">
      <w:pPr>
        <w:pStyle w:val="BAS-Normal0"/>
        <w:numPr>
          <w:ilvl w:val="0"/>
          <w:numId w:val="4"/>
        </w:numPr>
        <w:ind w:left="810" w:hanging="810"/>
      </w:pPr>
      <w:r>
        <w:lastRenderedPageBreak/>
        <w:t>Decline to conduct further negotiations with any Respondent;</w:t>
      </w:r>
    </w:p>
    <w:p w:rsidR="00974902" w:rsidRDefault="00AF24A7">
      <w:pPr>
        <w:pStyle w:val="BAS-Normal0"/>
        <w:numPr>
          <w:ilvl w:val="0"/>
          <w:numId w:val="4"/>
        </w:numPr>
        <w:ind w:left="810" w:hanging="810"/>
      </w:pPr>
      <w:r>
        <w:t xml:space="preserve">Reopen negotiations with any Respondent; </w:t>
      </w:r>
    </w:p>
    <w:p w:rsidR="00974902" w:rsidRDefault="00AF24A7">
      <w:pPr>
        <w:pStyle w:val="BAS-Normal0"/>
        <w:numPr>
          <w:ilvl w:val="0"/>
          <w:numId w:val="4"/>
        </w:numPr>
        <w:ind w:left="810" w:hanging="810"/>
      </w:pPr>
      <w:r>
        <w:t>Take any additional administrative steps deemed necessary in determining the final award, including additional fact-finding, evaluation, or negotiation where necessary and consistent with the terms of this ITN;</w:t>
      </w:r>
    </w:p>
    <w:p w:rsidR="00974902" w:rsidRDefault="00AF24A7">
      <w:pPr>
        <w:pStyle w:val="BAS-Normal0"/>
        <w:numPr>
          <w:ilvl w:val="0"/>
          <w:numId w:val="4"/>
        </w:numPr>
        <w:ind w:left="810" w:hanging="810"/>
      </w:pPr>
      <w:r>
        <w:t xml:space="preserve">Review and rely on relevant information contained in the replies received; </w:t>
      </w:r>
    </w:p>
    <w:p w:rsidR="00974902" w:rsidRDefault="00AF24A7">
      <w:pPr>
        <w:pStyle w:val="BAS-Normal0"/>
        <w:numPr>
          <w:ilvl w:val="0"/>
          <w:numId w:val="4"/>
        </w:numPr>
        <w:ind w:left="810" w:hanging="810"/>
      </w:pPr>
      <w:r>
        <w:t xml:space="preserve">Review and rely on relevant portions of the evaluations conducted pursuant to Section 6.0; and </w:t>
      </w:r>
    </w:p>
    <w:p w:rsidR="00974902" w:rsidRDefault="00AF24A7">
      <w:pPr>
        <w:pStyle w:val="BAS-Normal0"/>
        <w:numPr>
          <w:ilvl w:val="0"/>
          <w:numId w:val="4"/>
        </w:numPr>
        <w:ind w:left="810" w:hanging="810"/>
      </w:pPr>
      <w:r>
        <w:t>Seek factual information from Callan as it pertains to Callan’s investment consultant services provided to the Florida Prepaid College Board.</w:t>
      </w:r>
    </w:p>
    <w:p w:rsidR="00974902" w:rsidRDefault="00974902">
      <w:pPr>
        <w:pStyle w:val="BAS-Normal0"/>
      </w:pPr>
    </w:p>
    <w:p w:rsidR="00974902" w:rsidRDefault="00AF24A7">
      <w:pPr>
        <w:pStyle w:val="BAS-Normal0"/>
      </w:pPr>
      <w:r>
        <w:t>The Board has sole discretion in deciding whether and when to take any of the foregoing actions, the scope and manner of such actions, the Respondent(s) affected, and whether to provide concurrent public notice of such decision.</w:t>
      </w:r>
    </w:p>
    <w:p w:rsidR="00974902" w:rsidRDefault="00974902">
      <w:pPr>
        <w:pStyle w:val="BAS-Normal0"/>
      </w:pPr>
    </w:p>
    <w:p w:rsidR="00974902" w:rsidRDefault="00AF24A7">
      <w:pPr>
        <w:pStyle w:val="BAS-Heading3"/>
      </w:pPr>
      <w:bookmarkStart w:id="65" w:name="_Toc422293229"/>
      <w:bookmarkStart w:id="66" w:name="_Toc481766551"/>
      <w:r>
        <w:t>Negotiation Meetings Not Open to Public</w:t>
      </w:r>
      <w:bookmarkEnd w:id="65"/>
      <w:bookmarkEnd w:id="66"/>
    </w:p>
    <w:p w:rsidR="00974902" w:rsidRDefault="00AF24A7">
      <w:pPr>
        <w:pStyle w:val="BAS-Normal0"/>
      </w:pPr>
      <w:r>
        <w:t>Negotiations between the Board and a Respondent are exempt from being held as public meetings by Section 286.0113(2)(a) of the Florida Statutes. Furthermore, negotiation strategy meetings of the Board Negotiation Team are exempted by Section 286.0113(2)(a) of the Florida Statutes.</w:t>
      </w:r>
    </w:p>
    <w:p w:rsidR="00974902" w:rsidRDefault="00974902">
      <w:pPr>
        <w:pStyle w:val="BAS-Normal0"/>
      </w:pPr>
    </w:p>
    <w:p w:rsidR="00974902" w:rsidRDefault="00AF24A7">
      <w:pPr>
        <w:rPr>
          <w:rFonts w:ascii="Century Gothic" w:hAnsi="Century Gothic"/>
          <w:b/>
          <w:smallCaps/>
          <w:szCs w:val="24"/>
        </w:rPr>
      </w:pPr>
      <w:r>
        <w:br w:type="page"/>
      </w:r>
    </w:p>
    <w:p w:rsidR="00974902" w:rsidRDefault="00AF24A7">
      <w:pPr>
        <w:pStyle w:val="BAS-Heading1"/>
      </w:pPr>
      <w:bookmarkStart w:id="67" w:name="_Toc422293230"/>
      <w:bookmarkStart w:id="68" w:name="_Toc481766552"/>
      <w:r>
        <w:lastRenderedPageBreak/>
        <w:t>General Information</w:t>
      </w:r>
      <w:bookmarkEnd w:id="67"/>
      <w:bookmarkEnd w:id="68"/>
    </w:p>
    <w:p w:rsidR="00974902" w:rsidRDefault="00AF24A7">
      <w:pPr>
        <w:pStyle w:val="BAS-Heading2"/>
      </w:pPr>
      <w:bookmarkStart w:id="69" w:name="_Toc422293231"/>
      <w:bookmarkStart w:id="70" w:name="_Toc481766553"/>
      <w:r>
        <w:t>Glossary of Terms</w:t>
      </w:r>
      <w:bookmarkEnd w:id="69"/>
      <w:bookmarkEnd w:id="70"/>
    </w:p>
    <w:p w:rsidR="00974902" w:rsidRDefault="00AF24A7">
      <w:pPr>
        <w:pStyle w:val="BAS-Normal0"/>
        <w:numPr>
          <w:ilvl w:val="0"/>
          <w:numId w:val="3"/>
        </w:numPr>
        <w:ind w:left="810" w:hanging="810"/>
      </w:pPr>
      <w:r>
        <w:t>“Contract” means the document developed as a result of this ITN, which will incorporate, among other provisions, the contents of this ITN, questions and answers regarding this ITN, the Respondent's response to this ITN, and any amendments to the response.</w:t>
      </w:r>
    </w:p>
    <w:p w:rsidR="00974902" w:rsidRDefault="00974902">
      <w:pPr>
        <w:pStyle w:val="BAS-PlaceHolder"/>
        <w:ind w:left="810" w:hanging="810"/>
      </w:pPr>
    </w:p>
    <w:p w:rsidR="00974902" w:rsidRDefault="00AF24A7">
      <w:pPr>
        <w:pStyle w:val="BAS-Normal0"/>
        <w:numPr>
          <w:ilvl w:val="0"/>
          <w:numId w:val="3"/>
        </w:numPr>
        <w:ind w:left="810" w:hanging="810"/>
      </w:pPr>
      <w:r>
        <w:t>“Day” means a calendar day unless a different meaning is otherwise indicated.</w:t>
      </w:r>
    </w:p>
    <w:p w:rsidR="00974902" w:rsidRDefault="00974902">
      <w:pPr>
        <w:pStyle w:val="BAS-PlaceHolder"/>
        <w:ind w:left="810" w:hanging="810"/>
      </w:pPr>
    </w:p>
    <w:p w:rsidR="00974902" w:rsidRDefault="00AF24A7">
      <w:pPr>
        <w:pStyle w:val="BAS-Normal0"/>
        <w:numPr>
          <w:ilvl w:val="0"/>
          <w:numId w:val="3"/>
        </w:numPr>
        <w:ind w:left="810" w:hanging="810"/>
      </w:pPr>
      <w:r>
        <w:t>“Fiscal Year” means the fiscal year of the Board. Each fiscal year begins July 1 and ends the next June 30.</w:t>
      </w:r>
    </w:p>
    <w:p w:rsidR="00974902" w:rsidRDefault="00974902">
      <w:pPr>
        <w:pStyle w:val="BAS-PlaceHolder"/>
        <w:ind w:left="810" w:hanging="810"/>
      </w:pPr>
    </w:p>
    <w:p w:rsidR="00974902" w:rsidRDefault="00AF24A7">
      <w:pPr>
        <w:pStyle w:val="BAS-Normal0"/>
        <w:numPr>
          <w:ilvl w:val="0"/>
          <w:numId w:val="3"/>
        </w:numPr>
        <w:ind w:left="810" w:hanging="810"/>
      </w:pPr>
      <w:r>
        <w:t>“ITN” means this Invitation to Negotiate.</w:t>
      </w:r>
    </w:p>
    <w:p w:rsidR="00974902" w:rsidRDefault="00974902">
      <w:pPr>
        <w:pStyle w:val="BAS-PlaceHolder"/>
        <w:ind w:left="810" w:hanging="810"/>
      </w:pPr>
    </w:p>
    <w:p w:rsidR="00974902" w:rsidRDefault="00AF24A7">
      <w:pPr>
        <w:pStyle w:val="BAS-Normal0"/>
        <w:numPr>
          <w:ilvl w:val="0"/>
          <w:numId w:val="3"/>
        </w:numPr>
        <w:ind w:left="810" w:hanging="810"/>
      </w:pPr>
      <w:r>
        <w:t xml:space="preserve">“Respondent” means any firm, group, or person who submits a Response to the Board in response to this ITN. </w:t>
      </w:r>
    </w:p>
    <w:p w:rsidR="00974902" w:rsidRDefault="00974902">
      <w:pPr>
        <w:pStyle w:val="BAS-PlaceHolder"/>
        <w:ind w:left="810" w:hanging="810"/>
      </w:pPr>
    </w:p>
    <w:p w:rsidR="00974902" w:rsidRDefault="00AF24A7">
      <w:pPr>
        <w:pStyle w:val="BAS-Normal0"/>
        <w:numPr>
          <w:ilvl w:val="0"/>
          <w:numId w:val="3"/>
        </w:numPr>
        <w:ind w:left="810" w:hanging="810"/>
      </w:pPr>
      <w:r>
        <w:t>“Response” means all materials and documents submitted by the Respondent pursuant to this ITN.</w:t>
      </w:r>
    </w:p>
    <w:p w:rsidR="00974902" w:rsidRDefault="00974902">
      <w:pPr>
        <w:pStyle w:val="BAS-PlaceHolder"/>
        <w:ind w:left="810" w:hanging="810"/>
      </w:pPr>
    </w:p>
    <w:p w:rsidR="00974902" w:rsidRDefault="00AF24A7">
      <w:pPr>
        <w:pStyle w:val="BAS-Normal0"/>
        <w:numPr>
          <w:ilvl w:val="0"/>
          <w:numId w:val="3"/>
        </w:numPr>
        <w:ind w:left="810" w:hanging="810"/>
      </w:pPr>
      <w:r>
        <w:t>“State” means the State of Florida and its departments, boards, commissions, officials, and employees.</w:t>
      </w:r>
    </w:p>
    <w:p w:rsidR="00974902" w:rsidRDefault="00974902">
      <w:pPr>
        <w:pStyle w:val="BAS-PlaceHolder"/>
        <w:ind w:left="810" w:hanging="810"/>
      </w:pPr>
    </w:p>
    <w:p w:rsidR="00974902" w:rsidRDefault="00AF24A7">
      <w:pPr>
        <w:pStyle w:val="BAS-Normal0"/>
        <w:numPr>
          <w:ilvl w:val="0"/>
          <w:numId w:val="3"/>
        </w:numPr>
        <w:ind w:left="810" w:hanging="810"/>
      </w:pPr>
      <w:r>
        <w:t>“Trust Fund” means the Prepaid Plan and the Savings Plan Trust Fund.</w:t>
      </w:r>
    </w:p>
    <w:p w:rsidR="00974902" w:rsidRDefault="00974902">
      <w:pPr>
        <w:pStyle w:val="BAS-Normal0"/>
      </w:pPr>
    </w:p>
    <w:p w:rsidR="00974902" w:rsidRDefault="00AF24A7">
      <w:pPr>
        <w:pStyle w:val="BAS-Normal0"/>
      </w:pPr>
      <w:r>
        <w:t>Throughout this ITN and where deemed appropriate by the Board, the singular may be read as the plural and the plural as the singular.</w:t>
      </w:r>
    </w:p>
    <w:p w:rsidR="00974902" w:rsidRDefault="00974902">
      <w:pPr>
        <w:pStyle w:val="BAS-Normal0"/>
      </w:pPr>
    </w:p>
    <w:p w:rsidR="00974902" w:rsidRDefault="00AF24A7">
      <w:pPr>
        <w:pStyle w:val="BAS-Heading2"/>
      </w:pPr>
      <w:bookmarkStart w:id="71" w:name="_Toc422293232"/>
      <w:bookmarkStart w:id="72" w:name="_Toc481766554"/>
      <w:r>
        <w:t>Responsibility for Services</w:t>
      </w:r>
      <w:bookmarkEnd w:id="71"/>
      <w:bookmarkEnd w:id="72"/>
    </w:p>
    <w:p w:rsidR="00974902" w:rsidRDefault="00AF24A7">
      <w:pPr>
        <w:pStyle w:val="BAS-Normal0"/>
      </w:pPr>
      <w:r>
        <w:t>The Respondent(s) whose response is selected by the Board shall establish and assume direct responsibility for the services awarded. Accordingly, the Respondent(s) shall designate a Contract Manager whose primary responsibility is to work with the Board in making certain that all contract terms are strictly observed. At any time during the term of the contract, the Board reserves the right to reject the Respondent’s choice of Contract Manager and may terminate the contract if a Contract Manager acceptable to the Board cannot be made available by the Respondent.</w:t>
      </w:r>
    </w:p>
    <w:p w:rsidR="00974902" w:rsidRDefault="00974902">
      <w:pPr>
        <w:pStyle w:val="BAS-Normal0"/>
      </w:pPr>
    </w:p>
    <w:p w:rsidR="00974902" w:rsidRDefault="00AF24A7">
      <w:pPr>
        <w:pStyle w:val="BAS-Heading2"/>
      </w:pPr>
      <w:bookmarkStart w:id="73" w:name="_Toc422293233"/>
      <w:bookmarkStart w:id="74" w:name="_Toc481766555"/>
      <w:r>
        <w:t>Contract</w:t>
      </w:r>
      <w:bookmarkEnd w:id="73"/>
      <w:bookmarkEnd w:id="74"/>
    </w:p>
    <w:p w:rsidR="00974902" w:rsidRDefault="00AF24A7">
      <w:pPr>
        <w:pStyle w:val="BAS-Normal0"/>
      </w:pPr>
      <w:r>
        <w:t>The terms and conditions for a contract resulting from this ITN process, indicating the respective duties of the successful Respondent and the Board are included with this solicitation as Appendix C. The Board reserves the right to modify existing language and to consider proposed language by the Respondent as it may arise from negotiations.</w:t>
      </w:r>
    </w:p>
    <w:p w:rsidR="00974902" w:rsidRDefault="00974902">
      <w:pPr>
        <w:pStyle w:val="BAS-Normal0"/>
      </w:pPr>
    </w:p>
    <w:p w:rsidR="00974902" w:rsidRDefault="00AF24A7">
      <w:pPr>
        <w:pStyle w:val="BAS-Heading2"/>
      </w:pPr>
      <w:bookmarkStart w:id="75" w:name="_Toc422293234"/>
      <w:bookmarkStart w:id="76" w:name="_Toc481766556"/>
      <w:r>
        <w:t>Order of Precedence</w:t>
      </w:r>
      <w:bookmarkEnd w:id="75"/>
      <w:bookmarkEnd w:id="76"/>
    </w:p>
    <w:p w:rsidR="00974902" w:rsidRDefault="00AF24A7">
      <w:pPr>
        <w:pStyle w:val="BAS-Normal0"/>
      </w:pPr>
      <w:r>
        <w:t>In the event of any conflict, in the opinion of the Board between any provision of the Contract and the ITN, the Questions and Answers regarding the ITN, or the Response, the Contract shall govern the conduct of the Board and the Respondent. In the event of any conflict, in the opinion of the Board between the ITN and the Respondent’s Response, the ITN shall govern the conduct of the Board and the Respondent. In the event of any conflict, in the opinion of the Board</w:t>
      </w:r>
      <w:r w:rsidR="00572793">
        <w:t>,</w:t>
      </w:r>
      <w:r>
        <w:t xml:space="preserve"> between the ITN and the </w:t>
      </w:r>
      <w:r>
        <w:lastRenderedPageBreak/>
        <w:t>Questions and Answers regarding the ITN, the Questions and Answers regarding the ITN shall govern the conduct of the Board and the Respondent. In the event of any conflict, in the opinion of the Board between the Questions and Answers regarding the ITN and the Response, the Questions and Answers regarding the ITN shall govern the conduct of the Board and the Respondent.</w:t>
      </w:r>
    </w:p>
    <w:p w:rsidR="00974902" w:rsidRDefault="00974902">
      <w:pPr>
        <w:pStyle w:val="BAS-Normal0"/>
      </w:pPr>
    </w:p>
    <w:p w:rsidR="00974902" w:rsidRDefault="00AF24A7">
      <w:pPr>
        <w:pStyle w:val="BAS-Heading2"/>
      </w:pPr>
      <w:bookmarkStart w:id="77" w:name="_Toc422293235"/>
      <w:bookmarkStart w:id="78" w:name="_Toc481766557"/>
      <w:r>
        <w:t>Confidentiality of Account Information</w:t>
      </w:r>
      <w:bookmarkEnd w:id="77"/>
      <w:bookmarkEnd w:id="78"/>
    </w:p>
    <w:p w:rsidR="00974902" w:rsidRDefault="00AF24A7">
      <w:pPr>
        <w:pStyle w:val="BAS-Normal0"/>
      </w:pPr>
      <w:r>
        <w:t>Section 1009.98</w:t>
      </w:r>
      <w:r w:rsidR="00BD365B">
        <w:t xml:space="preserve">(6) and </w:t>
      </w:r>
      <w:r w:rsidR="00BD365B" w:rsidRPr="00BD365B">
        <w:t>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p>
    <w:p w:rsidR="00974902" w:rsidRDefault="00974902">
      <w:pPr>
        <w:pStyle w:val="BAS-Normal0"/>
      </w:pPr>
    </w:p>
    <w:p w:rsidR="00974902" w:rsidRDefault="00AF24A7">
      <w:pPr>
        <w:pStyle w:val="BAS-Heading2"/>
      </w:pPr>
      <w:bookmarkStart w:id="79" w:name="_Toc422293236"/>
      <w:bookmarkStart w:id="80" w:name="_Toc481766558"/>
      <w:r>
        <w:t xml:space="preserve">Property of </w:t>
      </w:r>
      <w:bookmarkEnd w:id="79"/>
      <w:r>
        <w:t>the Board</w:t>
      </w:r>
      <w:bookmarkEnd w:id="80"/>
    </w:p>
    <w:p w:rsidR="00974902" w:rsidRDefault="00AF24A7">
      <w:pPr>
        <w:pStyle w:val="BAS-Normal0"/>
      </w:pPr>
      <w:r>
        <w:t>All Responses to this ITN shall result in a Respondent’s waiver of any and all proprietary rights, or claims thereto, upon delivery to the Board. Any and all materials delivered shall become the property of the Board and will not be returned to the Respondents. Without limitation, the Board has the right to use any and all materials, data, ideas and/or adaptations thereof contained in any response to this ITN, regardless of copyright, trademark or other protected status. A Respondent shall not submit any information in its response which the Respondent does not own or otherwise have the right to waive any and all proprietary rights or claims relating to such information. The Respondent shall indemnify the Board to the fullest extent permitted by law against any and all claims by any third party relating to or arising from any claim of ownership or any proprietary rights to any information submitted by Respondent in response to this ITN. Selection or rejection of the Response will not affect this right.</w:t>
      </w:r>
    </w:p>
    <w:p w:rsidR="00974902" w:rsidRDefault="00974902">
      <w:pPr>
        <w:pStyle w:val="BAS-Normal0"/>
      </w:pPr>
    </w:p>
    <w:p w:rsidR="00974902" w:rsidRDefault="00AF24A7">
      <w:pPr>
        <w:pStyle w:val="BAS-Normal0"/>
      </w:pPr>
      <w:r>
        <w:t>All materials and data produced for the Board under the contract(s) resulting from this ITN will be owned by the Board unless otherwise agreed to in writing by the Board.</w:t>
      </w:r>
    </w:p>
    <w:p w:rsidR="00974902" w:rsidRDefault="00974902">
      <w:pPr>
        <w:pStyle w:val="BAS-Normal0"/>
      </w:pPr>
    </w:p>
    <w:p w:rsidR="00974902" w:rsidRDefault="00AF24A7">
      <w:pPr>
        <w:pStyle w:val="BAS-Heading2"/>
      </w:pPr>
      <w:bookmarkStart w:id="81" w:name="_Toc422293237"/>
      <w:bookmarkStart w:id="82" w:name="_Toc481766559"/>
      <w:r>
        <w:t>Response Tenure</w:t>
      </w:r>
      <w:bookmarkEnd w:id="81"/>
      <w:bookmarkEnd w:id="82"/>
    </w:p>
    <w:p w:rsidR="00974902" w:rsidRDefault="00AF24A7">
      <w:pPr>
        <w:pStyle w:val="BAS-Normal0"/>
      </w:pPr>
      <w:r>
        <w:t>All Responses are valid for one hundred eighty (180) days from the Response due date. The period of time during which Responses are valid will be tolled during the pendency of any proceeding related to any contract awarded pursuant to this ITN.</w:t>
      </w:r>
    </w:p>
    <w:p w:rsidR="00974902" w:rsidRDefault="00974902">
      <w:pPr>
        <w:pStyle w:val="BAS-Normal0"/>
      </w:pPr>
    </w:p>
    <w:p w:rsidR="00974902" w:rsidRDefault="00AF24A7">
      <w:pPr>
        <w:pStyle w:val="BAS-Heading2"/>
      </w:pPr>
      <w:bookmarkStart w:id="83" w:name="_Toc422293238"/>
      <w:bookmarkStart w:id="84" w:name="_Toc481766560"/>
      <w:r>
        <w:t>News Releases</w:t>
      </w:r>
      <w:bookmarkEnd w:id="83"/>
      <w:bookmarkEnd w:id="84"/>
    </w:p>
    <w:p w:rsidR="00974902" w:rsidRDefault="00AF24A7">
      <w:pPr>
        <w:pStyle w:val="BAS-Normal0"/>
      </w:pPr>
      <w:r>
        <w:t>The Florida Prepaid College Board is the only entity authorized to issue news releases relating to this ITN, Responses submitted in response to this ITN, and any contract resulting from this ITN.</w:t>
      </w:r>
    </w:p>
    <w:p w:rsidR="00974902" w:rsidRDefault="00AF24A7">
      <w:pPr>
        <w:rPr>
          <w:rFonts w:ascii="Century Gothic" w:hAnsi="Century Gothic"/>
          <w:b/>
          <w:smallCaps/>
          <w:sz w:val="24"/>
          <w:szCs w:val="24"/>
        </w:rPr>
      </w:pPr>
      <w:r>
        <w:br w:type="page"/>
      </w:r>
    </w:p>
    <w:p w:rsidR="00974902" w:rsidRDefault="00AF24A7">
      <w:pPr>
        <w:pStyle w:val="BAS-Heading1"/>
      </w:pPr>
      <w:bookmarkStart w:id="85" w:name="_Toc422293239"/>
      <w:bookmarkStart w:id="86" w:name="_Toc481766561"/>
      <w:r>
        <w:lastRenderedPageBreak/>
        <w:t>Appendices</w:t>
      </w:r>
      <w:bookmarkEnd w:id="85"/>
      <w:bookmarkEnd w:id="86"/>
    </w:p>
    <w:p w:rsidR="00974902" w:rsidRDefault="00974902">
      <w:pPr>
        <w:pStyle w:val="BAS-Normal0"/>
      </w:pPr>
    </w:p>
    <w:p w:rsidR="00974902" w:rsidRDefault="00974902">
      <w:pPr>
        <w:pStyle w:val="BAS-Normal0"/>
        <w:sectPr w:rsidR="00974902">
          <w:headerReference w:type="even" r:id="rId15"/>
          <w:headerReference w:type="default" r:id="rId16"/>
          <w:footerReference w:type="default" r:id="rId17"/>
          <w:pgSz w:w="12240" w:h="15840"/>
          <w:pgMar w:top="1080" w:right="1080" w:bottom="1080" w:left="1080" w:header="720" w:footer="720" w:gutter="0"/>
          <w:pgNumType w:start="1"/>
          <w:cols w:space="720"/>
          <w:docGrid w:linePitch="360"/>
        </w:sectPr>
      </w:pPr>
    </w:p>
    <w:p w:rsidR="00974902" w:rsidRDefault="00AF24A7">
      <w:pPr>
        <w:pStyle w:val="BAS-Heading1"/>
        <w:numPr>
          <w:ilvl w:val="0"/>
          <w:numId w:val="0"/>
        </w:numPr>
        <w:ind w:left="1440" w:hanging="1440"/>
      </w:pPr>
      <w:bookmarkStart w:id="87" w:name="_Toc424131348"/>
      <w:bookmarkStart w:id="88" w:name="_Toc424131407"/>
      <w:bookmarkStart w:id="89" w:name="_Toc481766562"/>
      <w:r>
        <w:lastRenderedPageBreak/>
        <w:t xml:space="preserve">APPENDIX A </w:t>
      </w:r>
      <w:r>
        <w:tab/>
      </w:r>
      <w:r w:rsidR="00A103A6">
        <w:t xml:space="preserve">DRAFT </w:t>
      </w:r>
      <w:r>
        <w:t xml:space="preserve">Comprehensive Investment Plan for the </w:t>
      </w:r>
      <w:bookmarkEnd w:id="87"/>
      <w:bookmarkEnd w:id="88"/>
      <w:r>
        <w:t>Stanley G. Tate Florida Prepaid college Program</w:t>
      </w:r>
      <w:bookmarkEnd w:id="89"/>
    </w:p>
    <w:p w:rsidR="00974902" w:rsidRDefault="00AF24A7">
      <w:pPr>
        <w:rPr>
          <w:rFonts w:ascii="Century Gothic" w:hAnsi="Century Gothic"/>
          <w:sz w:val="20"/>
          <w:szCs w:val="24"/>
        </w:rPr>
      </w:pPr>
      <w:r>
        <w:br w:type="page"/>
      </w:r>
    </w:p>
    <w:p w:rsidR="00974902" w:rsidRDefault="00AF24A7">
      <w:pPr>
        <w:pStyle w:val="PlainText"/>
        <w:jc w:val="center"/>
        <w:rPr>
          <w:rFonts w:ascii="Century Gothic" w:hAnsi="Century Gothic"/>
          <w:b/>
        </w:rPr>
      </w:pPr>
      <w:r>
        <w:rPr>
          <w:rFonts w:ascii="Century Gothic" w:hAnsi="Century Gothic"/>
          <w:b/>
        </w:rPr>
        <w:lastRenderedPageBreak/>
        <w:t>DRAFT</w:t>
      </w:r>
    </w:p>
    <w:p w:rsidR="00974902" w:rsidRDefault="00AF24A7">
      <w:pPr>
        <w:pStyle w:val="PlainText"/>
        <w:jc w:val="center"/>
        <w:rPr>
          <w:rFonts w:ascii="Century Gothic" w:hAnsi="Century Gothic"/>
          <w:b/>
        </w:rPr>
      </w:pPr>
      <w:r>
        <w:rPr>
          <w:rFonts w:ascii="Century Gothic" w:hAnsi="Century Gothic"/>
          <w:b/>
        </w:rPr>
        <w:t>Florida Prepaid College Board</w:t>
      </w:r>
    </w:p>
    <w:p w:rsidR="00974902" w:rsidRDefault="00AF24A7">
      <w:pPr>
        <w:pStyle w:val="PlainText"/>
        <w:jc w:val="center"/>
        <w:rPr>
          <w:rFonts w:ascii="Century Gothic" w:hAnsi="Century Gothic"/>
          <w:b/>
        </w:rPr>
      </w:pPr>
      <w:r>
        <w:rPr>
          <w:rFonts w:ascii="Century Gothic" w:hAnsi="Century Gothic"/>
          <w:b/>
        </w:rPr>
        <w:t>Comprehensive Investment Plan</w:t>
      </w:r>
    </w:p>
    <w:p w:rsidR="00974902" w:rsidRDefault="00AF24A7">
      <w:pPr>
        <w:pStyle w:val="PlainText"/>
        <w:jc w:val="center"/>
        <w:rPr>
          <w:rFonts w:ascii="Century Gothic" w:hAnsi="Century Gothic"/>
          <w:b/>
          <w:i/>
          <w:iCs/>
        </w:rPr>
      </w:pPr>
      <w:r>
        <w:rPr>
          <w:rFonts w:ascii="Century Gothic" w:hAnsi="Century Gothic"/>
          <w:b/>
          <w:i/>
          <w:iCs/>
        </w:rPr>
        <w:t>for the</w:t>
      </w:r>
    </w:p>
    <w:p w:rsidR="00974902" w:rsidRDefault="00AF24A7">
      <w:pPr>
        <w:pStyle w:val="PlainText"/>
        <w:jc w:val="center"/>
        <w:rPr>
          <w:rFonts w:ascii="Century Gothic" w:hAnsi="Century Gothic"/>
          <w:b/>
        </w:rPr>
      </w:pPr>
      <w:r>
        <w:rPr>
          <w:rFonts w:ascii="Century Gothic" w:hAnsi="Century Gothic"/>
          <w:b/>
        </w:rPr>
        <w:t>Stanley G. Tate Florida Prepaid College Program</w:t>
      </w:r>
    </w:p>
    <w:p w:rsidR="00974902" w:rsidRDefault="00AF24A7">
      <w:pPr>
        <w:pStyle w:val="PlainText"/>
        <w:jc w:val="center"/>
        <w:rPr>
          <w:rFonts w:ascii="Century Gothic" w:hAnsi="Century Gothic"/>
          <w:b/>
        </w:rPr>
      </w:pPr>
      <w:r>
        <w:rPr>
          <w:rFonts w:ascii="Century Gothic" w:hAnsi="Century Gothic"/>
          <w:b/>
        </w:rPr>
        <w:t>March 30, 2017</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AUTHORITY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All investments made under this plan are made under the authority granted the Florida Prepaid College Board under Section 1009.973, Florida Statutes.  All funds managed by the Board are funds of the State of Florida.</w:t>
      </w:r>
    </w:p>
    <w:p w:rsidR="00974902" w:rsidRDefault="00974902">
      <w:pPr>
        <w:pStyle w:val="PlainText"/>
        <w:jc w:val="both"/>
        <w:rPr>
          <w:rFonts w:ascii="Century Gothic" w:hAnsi="Century Gothic"/>
        </w:rPr>
      </w:pPr>
    </w:p>
    <w:p w:rsidR="00974902" w:rsidRDefault="00AF24A7">
      <w:pPr>
        <w:pStyle w:val="PlainText"/>
        <w:tabs>
          <w:tab w:val="left" w:pos="6156"/>
          <w:tab w:val="left" w:pos="6187"/>
        </w:tabs>
        <w:jc w:val="both"/>
        <w:rPr>
          <w:rFonts w:ascii="Century Gothic" w:hAnsi="Century Gothic"/>
          <w:b/>
        </w:rPr>
      </w:pPr>
      <w:r>
        <w:rPr>
          <w:rFonts w:ascii="Century Gothic" w:hAnsi="Century Gothic"/>
          <w:b/>
        </w:rPr>
        <w:t>PURPOSE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Stanley G. Tate Florida Prepaid College Program (the Program) is a program created pursuant to Section 1009.98 of the Florida Statutes to provide a medium through which the cost of a state postsecondary education may be paid in advance of enrollment at a rate lower than the projected corresponding cost at the time of actual enrollment.  The Program is administered by the Florida Prepaid College Board (the Board), which was created pursuant to Section 1009.97 of the Florida Statutes.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policy goals of this Comprehensive Investment Plan (CIP) are established as follows in the priority listed.  These goals are: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b/>
        <w:t>1.</w:t>
      </w:r>
      <w:r>
        <w:rPr>
          <w:rFonts w:ascii="Century Gothic" w:hAnsi="Century Gothic"/>
        </w:rPr>
        <w:tab/>
        <w:t>Safety</w:t>
      </w:r>
    </w:p>
    <w:p w:rsidR="00974902" w:rsidRDefault="00AF24A7">
      <w:pPr>
        <w:pStyle w:val="PlainText"/>
        <w:jc w:val="both"/>
        <w:rPr>
          <w:rFonts w:ascii="Century Gothic" w:hAnsi="Century Gothic"/>
        </w:rPr>
      </w:pPr>
      <w:r>
        <w:rPr>
          <w:rFonts w:ascii="Century Gothic" w:hAnsi="Century Gothic"/>
        </w:rPr>
        <w:tab/>
        <w:t>2.</w:t>
      </w:r>
      <w:r>
        <w:rPr>
          <w:rFonts w:ascii="Century Gothic" w:hAnsi="Century Gothic"/>
        </w:rPr>
        <w:tab/>
        <w:t>Liquidity</w:t>
      </w:r>
    </w:p>
    <w:p w:rsidR="00974902" w:rsidRDefault="00AF24A7">
      <w:pPr>
        <w:pStyle w:val="PlainText"/>
        <w:numPr>
          <w:ilvl w:val="0"/>
          <w:numId w:val="42"/>
        </w:numPr>
        <w:jc w:val="both"/>
        <w:rPr>
          <w:rFonts w:ascii="Century Gothic" w:hAnsi="Century Gothic"/>
        </w:rPr>
      </w:pPr>
      <w:r>
        <w:rPr>
          <w:rFonts w:ascii="Century Gothic" w:hAnsi="Century Gothic"/>
        </w:rPr>
        <w:t>Yield</w:t>
      </w:r>
    </w:p>
    <w:p w:rsidR="00974902" w:rsidRDefault="00974902">
      <w:pPr>
        <w:pStyle w:val="PlainText"/>
        <w:ind w:left="72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sole purpose of the investment program is to meet the forecasted actuarial liability projections.  In pursuing the objective of meeting the forecasted liabilities, the primary policy goal is the safety in the Program's ability to meet the forecasted liabilities. The goals of safety must be met by the limitation of risk through portfolio allocation based on liability requirements, diversification within asset classes, credit quality guidelines and investment operating procedures.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 second and equally important portfolio objective is giving adequate consideration to the liquidity requirements necessitated by the Program obligations.  Consideration will be given to investment maturities, investment income and funds receipts in calculating funds required for liquidity purposes.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After meeting safety and liquidity requirements, the goals of maximizing investment return will be met.  Strategies will be employed to achieve the highest possible net returns within policy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investment strategy is designed to enable the Board to meet actuarially determined Program liabilities, calculated by an independent actuarial consultant firm, and approved by the Board, at the time of funding.  By definition, responsibility for financing any divergence of actual liabilities from actuarial assumptions that may result in Program funding deficits belongs to the Legislature.  The sole purpose of the Board's CIP is to outline the strategies to be employed to meet forecast actuarial liability projections, and to establish the guidelines under which each investment manager will operate.</w:t>
      </w:r>
    </w:p>
    <w:p w:rsidR="00974902" w:rsidRDefault="00974902">
      <w:pPr>
        <w:pStyle w:val="PlainText"/>
        <w:jc w:val="both"/>
        <w:rPr>
          <w:rFonts w:ascii="Century Gothic" w:hAnsi="Century Gothic"/>
        </w:rPr>
      </w:pPr>
    </w:p>
    <w:p w:rsidR="00974902" w:rsidRDefault="00AF24A7">
      <w:pPr>
        <w:rPr>
          <w:rFonts w:ascii="Century Gothic" w:hAnsi="Century Gothic"/>
          <w:b/>
          <w:sz w:val="20"/>
          <w:szCs w:val="20"/>
        </w:rPr>
      </w:pPr>
      <w:r>
        <w:rPr>
          <w:rFonts w:ascii="Century Gothic" w:hAnsi="Century Gothic"/>
          <w:b/>
          <w:sz w:val="20"/>
          <w:szCs w:val="20"/>
        </w:rPr>
        <w:t>ORGANIZATION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retains ultimate responsibility for the development, execution and control of the CIP.  The Board may delegate responsibility for the administration of the CIP to a Committee of the Board or a person duly chosen by the Board.  This Committee or person shall ensure that Board policies are strictly </w:t>
      </w:r>
      <w:r>
        <w:rPr>
          <w:rFonts w:ascii="Century Gothic" w:hAnsi="Century Gothic"/>
        </w:rPr>
        <w:lastRenderedPageBreak/>
        <w:t>followed and that investment procedures, which protect the financial assets of the Program, are in place and properly followed. The Committee will employ the services of a professional consultant to advise it in the pursuit of the investment objectives.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INVESTMENT MANAGEMENT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Board will hire duly qualified investment managers to carry out the day-to-day investment responsibilities outlined in the CIP. Investment managers (product providers) will have investment discretion as to security selection subject to the guidelines and limitations expressed in the CIP and any manager-specific guidelines agreed upon between the Board and manager.</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 xml:space="preserve">REPORTING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Executive Director will cause detailed quarterly reports and monthly flash reports of the investment portfolio structure and performance to be prepared for review by the Board.</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To ensure that the Executive Director and the Board have the necessary information to discharge their oversight responsibility, the quarterly reports will include the following:</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w:t>
      </w:r>
      <w:r>
        <w:rPr>
          <w:rFonts w:ascii="Century Gothic" w:hAnsi="Century Gothic"/>
        </w:rPr>
        <w:tab/>
        <w:t>Performance Measurement and Attribution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Performance measurement of the Prepaid College Trust Fund (the Fund) shall be reported each quarter for the most recent completed quarter, fiscal year-to-date, most recent twelve-month period and cumulatively from inception showing returns on the assets compared to returns on the customized benchmark index, which approximates the Program’s liability requirements. Returns will be reported on a time-weighted basis. </w:t>
      </w:r>
    </w:p>
    <w:p w:rsidR="00974902" w:rsidRDefault="00974902">
      <w:pPr>
        <w:pStyle w:val="PlainText"/>
        <w:jc w:val="both"/>
        <w:rPr>
          <w:rFonts w:ascii="Century Gothic" w:hAnsi="Century Gothic"/>
        </w:rPr>
      </w:pPr>
    </w:p>
    <w:p w:rsidR="00974902" w:rsidRDefault="00AF24A7">
      <w:pPr>
        <w:pStyle w:val="PlainText"/>
        <w:numPr>
          <w:ilvl w:val="0"/>
          <w:numId w:val="43"/>
        </w:numPr>
        <w:jc w:val="both"/>
        <w:rPr>
          <w:rFonts w:ascii="Century Gothic" w:hAnsi="Century Gothic"/>
        </w:rPr>
      </w:pPr>
      <w:r>
        <w:rPr>
          <w:rFonts w:ascii="Century Gothic" w:hAnsi="Century Gothic"/>
        </w:rPr>
        <w:t>The performance of the total Fund will be compared against a benchmark comprised of market portfolios representing the underlying investment strategies and weighted in accordance with the Program’s asset allocation policy.</w:t>
      </w:r>
    </w:p>
    <w:p w:rsidR="00974902" w:rsidRDefault="00974902">
      <w:pPr>
        <w:pStyle w:val="PlainText"/>
        <w:jc w:val="both"/>
        <w:rPr>
          <w:rFonts w:ascii="Century Gothic" w:hAnsi="Century Gothic"/>
        </w:rPr>
      </w:pPr>
    </w:p>
    <w:p w:rsidR="00974902" w:rsidRDefault="00AF24A7">
      <w:pPr>
        <w:pStyle w:val="PlainText"/>
        <w:numPr>
          <w:ilvl w:val="0"/>
          <w:numId w:val="29"/>
        </w:numPr>
        <w:jc w:val="both"/>
        <w:rPr>
          <w:rFonts w:ascii="Century Gothic" w:hAnsi="Century Gothic"/>
        </w:rPr>
      </w:pPr>
      <w:r>
        <w:rPr>
          <w:rFonts w:ascii="Century Gothic" w:hAnsi="Century Gothic"/>
        </w:rPr>
        <w:t xml:space="preserve">Performance of each asset class will be shown along with an analysis of each manager’s contribution to the performance of the asset class. </w:t>
      </w:r>
    </w:p>
    <w:p w:rsidR="00974902" w:rsidRDefault="00974902">
      <w:pPr>
        <w:pStyle w:val="PlainText"/>
        <w:jc w:val="both"/>
        <w:rPr>
          <w:rFonts w:ascii="Century Gothic" w:hAnsi="Century Gothic"/>
        </w:rPr>
      </w:pPr>
    </w:p>
    <w:p w:rsidR="00974902" w:rsidRDefault="00AF24A7">
      <w:pPr>
        <w:pStyle w:val="PlainText"/>
        <w:numPr>
          <w:ilvl w:val="0"/>
          <w:numId w:val="30"/>
        </w:numPr>
        <w:jc w:val="both"/>
        <w:rPr>
          <w:rFonts w:ascii="Century Gothic" w:hAnsi="Century Gothic"/>
        </w:rPr>
      </w:pPr>
      <w:r>
        <w:rPr>
          <w:rFonts w:ascii="Century Gothic" w:hAnsi="Century Gothic"/>
        </w:rPr>
        <w:t>Performance of each investment manager and an attribution analysis of that manager’s performance will be shown in comparison to benchmarks appropriate to their investment strategy.</w:t>
      </w:r>
    </w:p>
    <w:p w:rsidR="00974902" w:rsidRDefault="00974902">
      <w:pPr>
        <w:pStyle w:val="PlainText"/>
        <w:jc w:val="both"/>
        <w:rPr>
          <w:rFonts w:ascii="Century Gothic" w:hAnsi="Century Gothic"/>
        </w:rPr>
      </w:pPr>
    </w:p>
    <w:p w:rsidR="00974902" w:rsidRDefault="00AF24A7">
      <w:pPr>
        <w:pStyle w:val="PlainText"/>
        <w:numPr>
          <w:ilvl w:val="0"/>
          <w:numId w:val="31"/>
        </w:numPr>
        <w:tabs>
          <w:tab w:val="clear" w:pos="360"/>
          <w:tab w:val="num" w:pos="720"/>
        </w:tabs>
        <w:ind w:left="720"/>
        <w:jc w:val="both"/>
        <w:rPr>
          <w:rFonts w:ascii="Century Gothic" w:hAnsi="Century Gothic"/>
        </w:rPr>
      </w:pPr>
      <w:r>
        <w:rPr>
          <w:rFonts w:ascii="Century Gothic" w:hAnsi="Century Gothic"/>
        </w:rPr>
        <w:t>Fixed Income attribution will include such factors as the effects of changes in interest rates, and sector and quality decisions.</w:t>
      </w:r>
    </w:p>
    <w:p w:rsidR="00974902" w:rsidRDefault="00AF24A7">
      <w:pPr>
        <w:pStyle w:val="PlainText"/>
        <w:numPr>
          <w:ilvl w:val="0"/>
          <w:numId w:val="31"/>
        </w:numPr>
        <w:tabs>
          <w:tab w:val="clear" w:pos="360"/>
          <w:tab w:val="num" w:pos="720"/>
        </w:tabs>
        <w:ind w:left="720"/>
        <w:jc w:val="both"/>
        <w:rPr>
          <w:rFonts w:ascii="Century Gothic" w:hAnsi="Century Gothic"/>
        </w:rPr>
      </w:pPr>
      <w:r>
        <w:rPr>
          <w:rFonts w:ascii="Century Gothic" w:hAnsi="Century Gothic"/>
        </w:rPr>
        <w:t>Equity attribution will include such factors as sector and industry weights, beta, company size, yield and growth in earnings.</w:t>
      </w:r>
    </w:p>
    <w:p w:rsidR="00974902" w:rsidRDefault="00974902">
      <w:pPr>
        <w:pStyle w:val="PlainText"/>
        <w:ind w:left="360"/>
        <w:jc w:val="both"/>
        <w:rPr>
          <w:rFonts w:ascii="Century Gothic" w:hAnsi="Century Gothic"/>
        </w:rPr>
      </w:pPr>
    </w:p>
    <w:p w:rsidR="00974902" w:rsidRDefault="00AF24A7">
      <w:pPr>
        <w:pStyle w:val="PlainText"/>
        <w:numPr>
          <w:ilvl w:val="0"/>
          <w:numId w:val="44"/>
        </w:numPr>
        <w:jc w:val="both"/>
        <w:rPr>
          <w:rFonts w:ascii="Century Gothic" w:hAnsi="Century Gothic"/>
        </w:rPr>
      </w:pPr>
      <w:r>
        <w:rPr>
          <w:rFonts w:ascii="Century Gothic" w:hAnsi="Century Gothic"/>
        </w:rPr>
        <w:t>The performance of each equity manager will also be evaluated relative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2"/>
        </w:numPr>
        <w:jc w:val="both"/>
        <w:rPr>
          <w:rFonts w:ascii="Century Gothic" w:hAnsi="Century Gothic"/>
        </w:rPr>
      </w:pPr>
      <w:r>
        <w:rPr>
          <w:rFonts w:ascii="Century Gothic" w:hAnsi="Century Gothic"/>
        </w:rPr>
        <w:t xml:space="preserve">Returns for each manager and the overall Fund will also be evaluated on a risk-adjusted basis. </w:t>
      </w:r>
    </w:p>
    <w:p w:rsidR="00974902" w:rsidRDefault="00974902">
      <w:pPr>
        <w:pStyle w:val="PlainText"/>
        <w:ind w:left="360"/>
        <w:jc w:val="both"/>
        <w:rPr>
          <w:rFonts w:ascii="Century Gothic" w:hAnsi="Century Gothic"/>
        </w:rPr>
      </w:pPr>
    </w:p>
    <w:p w:rsidR="00974902" w:rsidRDefault="00AF24A7">
      <w:pPr>
        <w:pStyle w:val="PlainText"/>
        <w:numPr>
          <w:ilvl w:val="0"/>
          <w:numId w:val="31"/>
        </w:numPr>
        <w:tabs>
          <w:tab w:val="clear" w:pos="360"/>
          <w:tab w:val="num" w:pos="720"/>
        </w:tabs>
        <w:ind w:left="720"/>
        <w:jc w:val="both"/>
        <w:rPr>
          <w:rFonts w:ascii="Century Gothic" w:hAnsi="Century Gothic"/>
        </w:rPr>
      </w:pPr>
      <w:r>
        <w:rPr>
          <w:rFonts w:ascii="Century Gothic" w:hAnsi="Century Gothic"/>
        </w:rPr>
        <w:t>For individual managers, the risk measurement will be expressed relative to appropriate benchmarks.</w:t>
      </w:r>
    </w:p>
    <w:p w:rsidR="00974902" w:rsidRDefault="00AF24A7">
      <w:pPr>
        <w:pStyle w:val="PlainText"/>
        <w:numPr>
          <w:ilvl w:val="0"/>
          <w:numId w:val="31"/>
        </w:numPr>
        <w:tabs>
          <w:tab w:val="clear" w:pos="360"/>
          <w:tab w:val="num" w:pos="720"/>
        </w:tabs>
        <w:ind w:left="720"/>
        <w:jc w:val="both"/>
        <w:rPr>
          <w:rFonts w:ascii="Century Gothic" w:hAnsi="Century Gothic"/>
        </w:rPr>
      </w:pPr>
      <w:r>
        <w:rPr>
          <w:rFonts w:ascii="Century Gothic" w:hAnsi="Century Gothic"/>
        </w:rPr>
        <w:t xml:space="preserve">For each asset class and the overall Fund, the risk measurement will take into consideration any deviation from asset allocation policy and the impact on the funded status of the Program’s liabilities. </w:t>
      </w:r>
    </w:p>
    <w:p w:rsidR="00974902" w:rsidRDefault="00974902">
      <w:pPr>
        <w:pStyle w:val="PlainText"/>
        <w:jc w:val="both"/>
        <w:rPr>
          <w:rFonts w:ascii="Century Gothic" w:hAnsi="Century Gothic"/>
        </w:rPr>
      </w:pPr>
    </w:p>
    <w:p w:rsidR="00974902" w:rsidRDefault="00AF24A7">
      <w:pPr>
        <w:pStyle w:val="PlainText"/>
        <w:tabs>
          <w:tab w:val="left" w:pos="720"/>
        </w:tabs>
        <w:jc w:val="both"/>
        <w:rPr>
          <w:rFonts w:ascii="Century Gothic" w:hAnsi="Century Gothic"/>
        </w:rPr>
      </w:pPr>
      <w:r>
        <w:rPr>
          <w:rFonts w:ascii="Century Gothic" w:hAnsi="Century Gothic"/>
        </w:rPr>
        <w:lastRenderedPageBreak/>
        <w:t>2.</w:t>
      </w:r>
      <w:r>
        <w:rPr>
          <w:rFonts w:ascii="Century Gothic" w:hAnsi="Century Gothic"/>
        </w:rPr>
        <w:tab/>
        <w:t>Compliance and Monitoring</w:t>
      </w:r>
    </w:p>
    <w:p w:rsidR="00974902" w:rsidRDefault="00974902">
      <w:pPr>
        <w:pStyle w:val="PlainText"/>
        <w:jc w:val="both"/>
        <w:rPr>
          <w:rFonts w:ascii="Century Gothic" w:hAnsi="Century Gothic"/>
        </w:rPr>
      </w:pPr>
    </w:p>
    <w:p w:rsidR="00974902" w:rsidRDefault="00AF24A7">
      <w:pPr>
        <w:pStyle w:val="PlainText"/>
        <w:numPr>
          <w:ilvl w:val="0"/>
          <w:numId w:val="69"/>
        </w:numPr>
        <w:ind w:left="360" w:hanging="270"/>
        <w:jc w:val="both"/>
        <w:rPr>
          <w:rFonts w:ascii="Century Gothic" w:hAnsi="Century Gothic"/>
        </w:rPr>
      </w:pPr>
      <w:r>
        <w:rPr>
          <w:rFonts w:ascii="Century Gothic" w:hAnsi="Century Gothic"/>
        </w:rPr>
        <w:t>Asset allocation of the Fund and diversification within each asset class will be reported to ensure allocation guidelines are met.</w:t>
      </w:r>
    </w:p>
    <w:p w:rsidR="00974902" w:rsidRDefault="00974902">
      <w:pPr>
        <w:pStyle w:val="PlainText"/>
        <w:tabs>
          <w:tab w:val="num" w:pos="360"/>
        </w:tabs>
        <w:ind w:left="360" w:hanging="270"/>
        <w:jc w:val="both"/>
        <w:rPr>
          <w:rFonts w:ascii="Century Gothic" w:hAnsi="Century Gothic"/>
        </w:rPr>
      </w:pPr>
    </w:p>
    <w:p w:rsidR="00974902" w:rsidRDefault="00AF24A7">
      <w:pPr>
        <w:pStyle w:val="PlainText"/>
        <w:numPr>
          <w:ilvl w:val="0"/>
          <w:numId w:val="69"/>
        </w:numPr>
        <w:ind w:left="360" w:hanging="270"/>
        <w:jc w:val="both"/>
        <w:rPr>
          <w:rFonts w:ascii="Century Gothic" w:hAnsi="Century Gothic"/>
        </w:rPr>
      </w:pPr>
      <w:r>
        <w:rPr>
          <w:rFonts w:ascii="Century Gothic" w:hAnsi="Century Gothic"/>
        </w:rPr>
        <w:t>Projection of sources and uses of funds will be reported to ensure liquidity requirements are met.</w:t>
      </w:r>
    </w:p>
    <w:p w:rsidR="00974902" w:rsidRDefault="00974902">
      <w:pPr>
        <w:pStyle w:val="PlainText"/>
        <w:ind w:left="360" w:hanging="270"/>
        <w:jc w:val="both"/>
        <w:rPr>
          <w:rFonts w:ascii="Century Gothic" w:hAnsi="Century Gothic"/>
        </w:rPr>
      </w:pPr>
    </w:p>
    <w:p w:rsidR="00974902" w:rsidRDefault="00AF24A7">
      <w:pPr>
        <w:pStyle w:val="PlainText"/>
        <w:numPr>
          <w:ilvl w:val="0"/>
          <w:numId w:val="69"/>
        </w:numPr>
        <w:ind w:left="360" w:hanging="270"/>
        <w:jc w:val="both"/>
        <w:rPr>
          <w:rFonts w:ascii="Century Gothic" w:hAnsi="Century Gothic"/>
        </w:rPr>
      </w:pPr>
      <w:r>
        <w:rPr>
          <w:rFonts w:ascii="Century Gothic" w:hAnsi="Century Gothic"/>
        </w:rPr>
        <w:t>Investment asset holdings will be reported and monitored monthly to ensure investment only in authorized vehicles.</w:t>
      </w:r>
    </w:p>
    <w:p w:rsidR="00974902" w:rsidRDefault="00974902">
      <w:pPr>
        <w:pStyle w:val="PlainText"/>
        <w:tabs>
          <w:tab w:val="num" w:pos="360"/>
        </w:tabs>
        <w:ind w:left="360" w:hanging="270"/>
        <w:jc w:val="both"/>
        <w:rPr>
          <w:rFonts w:ascii="Century Gothic" w:hAnsi="Century Gothic"/>
        </w:rPr>
      </w:pPr>
    </w:p>
    <w:p w:rsidR="00974902" w:rsidRDefault="00AF24A7">
      <w:pPr>
        <w:pStyle w:val="PlainText"/>
        <w:numPr>
          <w:ilvl w:val="0"/>
          <w:numId w:val="69"/>
        </w:numPr>
        <w:ind w:left="360" w:hanging="270"/>
        <w:jc w:val="both"/>
        <w:rPr>
          <w:rFonts w:ascii="Century Gothic" w:hAnsi="Century Gothic"/>
        </w:rPr>
      </w:pPr>
      <w:r>
        <w:rPr>
          <w:rFonts w:ascii="Century Gothic" w:hAnsi="Century Gothic"/>
        </w:rPr>
        <w:t xml:space="preserve">Each manager will certify </w:t>
      </w:r>
      <w:r>
        <w:rPr>
          <w:rFonts w:ascii="Century Gothic" w:hAnsi="Century Gothic"/>
          <w:i/>
        </w:rPr>
        <w:t>monthly</w:t>
      </w:r>
      <w:r>
        <w:rPr>
          <w:rFonts w:ascii="Century Gothic" w:hAnsi="Century Gothic"/>
        </w:rPr>
        <w:t xml:space="preserve"> that their portfolio is in compliance with the terms of this CIP and their specific investment mandate. Any exceptions to policy will be noted and a statement provided indicating the steps to be taken to bring the portfolio back into compliance with the policy.</w:t>
      </w:r>
    </w:p>
    <w:p w:rsidR="00974902" w:rsidRDefault="00974902">
      <w:pPr>
        <w:pStyle w:val="PlainText"/>
        <w:ind w:left="360" w:hanging="270"/>
        <w:jc w:val="both"/>
        <w:rPr>
          <w:rFonts w:ascii="Century Gothic" w:hAnsi="Century Gothic"/>
        </w:rPr>
      </w:pPr>
    </w:p>
    <w:p w:rsidR="00974902" w:rsidRDefault="00AF24A7">
      <w:pPr>
        <w:pStyle w:val="PlainText"/>
        <w:numPr>
          <w:ilvl w:val="0"/>
          <w:numId w:val="69"/>
        </w:numPr>
        <w:ind w:left="360" w:hanging="270"/>
        <w:jc w:val="both"/>
        <w:rPr>
          <w:rFonts w:ascii="Century Gothic" w:hAnsi="Century Gothic"/>
        </w:rPr>
      </w:pPr>
      <w:r>
        <w:rPr>
          <w:rFonts w:ascii="Century Gothic" w:hAnsi="Century Gothic"/>
        </w:rPr>
        <w:t>Each manager will be monitored based upon the performance objectives outlined in this CIP.</w:t>
      </w:r>
    </w:p>
    <w:p w:rsidR="00974902" w:rsidRDefault="00974902">
      <w:pPr>
        <w:pStyle w:val="PlainText"/>
        <w:tabs>
          <w:tab w:val="left" w:pos="360"/>
        </w:tabs>
        <w:ind w:left="360" w:hanging="270"/>
        <w:jc w:val="both"/>
        <w:rPr>
          <w:rFonts w:ascii="Century Gothic" w:hAnsi="Century Gothic"/>
        </w:rPr>
      </w:pPr>
    </w:p>
    <w:p w:rsidR="00974902" w:rsidRDefault="00AF24A7">
      <w:pPr>
        <w:pStyle w:val="PlainText"/>
        <w:numPr>
          <w:ilvl w:val="0"/>
          <w:numId w:val="69"/>
        </w:numPr>
        <w:tabs>
          <w:tab w:val="left" w:pos="360"/>
        </w:tabs>
        <w:ind w:left="360" w:hanging="270"/>
        <w:jc w:val="both"/>
        <w:rPr>
          <w:rFonts w:ascii="Century Gothic" w:hAnsi="Century Gothic"/>
        </w:rPr>
      </w:pPr>
      <w:r>
        <w:rPr>
          <w:rFonts w:ascii="Century Gothic" w:hAnsi="Century Gothic"/>
        </w:rPr>
        <w:t>Each manager shall immediately disclose to the Board in writing any instance which a member of the investment manager’s Board of Directors, an officer of the investment management firm, or a member of the portfolio management staff is also a member of the Board of Directors, an officer of, or a significant shareholder of 5% or more in stocks of a company in which they propose to invest Board funds.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
    <w:p w:rsidR="00974902" w:rsidRDefault="00974902">
      <w:pPr>
        <w:pStyle w:val="PlainText"/>
        <w:tabs>
          <w:tab w:val="left" w:pos="360"/>
        </w:tabs>
        <w:ind w:left="360"/>
        <w:jc w:val="both"/>
        <w:rPr>
          <w:rFonts w:ascii="Century Gothic" w:hAnsi="Century Gothic"/>
        </w:rPr>
      </w:pPr>
    </w:p>
    <w:p w:rsidR="00974902" w:rsidRDefault="00AF24A7">
      <w:pPr>
        <w:pStyle w:val="PlainText"/>
        <w:numPr>
          <w:ilvl w:val="0"/>
          <w:numId w:val="69"/>
        </w:numPr>
        <w:tabs>
          <w:tab w:val="left" w:pos="360"/>
        </w:tabs>
        <w:ind w:left="360" w:hanging="270"/>
        <w:jc w:val="both"/>
        <w:rPr>
          <w:rFonts w:ascii="Century Gothic" w:hAnsi="Century Gothic"/>
        </w:rPr>
      </w:pPr>
      <w:r>
        <w:rPr>
          <w:rFonts w:ascii="Century Gothic" w:hAnsi="Century Gothic"/>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AUTHORIZED INVESTMENT VEHICLES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Funds managed by the Board may be placed in the following accounts or investments: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w:t>
      </w:r>
      <w:r>
        <w:rPr>
          <w:rFonts w:ascii="Century Gothic" w:hAnsi="Century Gothic"/>
        </w:rPr>
        <w:tab/>
        <w:t>Deposit accounts and certificates of deposit in banks.</w:t>
      </w:r>
    </w:p>
    <w:p w:rsidR="00974902" w:rsidRDefault="00AF24A7">
      <w:pPr>
        <w:pStyle w:val="PlainText"/>
        <w:jc w:val="both"/>
        <w:rPr>
          <w:rFonts w:ascii="Century Gothic" w:hAnsi="Century Gothic"/>
        </w:rPr>
      </w:pPr>
      <w:r>
        <w:rPr>
          <w:rFonts w:ascii="Century Gothic" w:hAnsi="Century Gothic"/>
        </w:rPr>
        <w:tab/>
      </w:r>
    </w:p>
    <w:p w:rsidR="00974902" w:rsidRDefault="00AF24A7">
      <w:pPr>
        <w:pStyle w:val="PlainText"/>
        <w:jc w:val="both"/>
        <w:rPr>
          <w:rFonts w:ascii="Century Gothic" w:hAnsi="Century Gothic"/>
        </w:rPr>
      </w:pPr>
      <w:r>
        <w:rPr>
          <w:rFonts w:ascii="Century Gothic" w:hAnsi="Century Gothic"/>
        </w:rPr>
        <w:t>2.</w:t>
      </w:r>
      <w:r>
        <w:rPr>
          <w:rFonts w:ascii="Century Gothic" w:hAnsi="Century Gothic"/>
        </w:rPr>
        <w:tab/>
        <w:t xml:space="preserve">Obligations of the United States Treasury, including Treasury Inflation Protection (TIPs) </w:t>
      </w:r>
      <w:r>
        <w:rPr>
          <w:rFonts w:ascii="Century Gothic" w:hAnsi="Century Gothic"/>
        </w:rPr>
        <w:tab/>
        <w:t>bonds.</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3.</w:t>
      </w:r>
      <w:r>
        <w:rPr>
          <w:rFonts w:ascii="Century Gothic" w:hAnsi="Century Gothic"/>
        </w:rPr>
        <w:tab/>
        <w:t xml:space="preserve">Obligations of agencies of the United States Government (not restricted to full-faith and credit obligations).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4.</w:t>
      </w:r>
      <w:r>
        <w:rPr>
          <w:rFonts w:ascii="Century Gothic" w:hAnsi="Century Gothic"/>
        </w:rPr>
        <w:tab/>
        <w:t>Commercial paper of prime quality of the highest letter and numerical rating established by a nationally recognized rating service.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5.</w:t>
      </w:r>
      <w:r>
        <w:rPr>
          <w:rFonts w:ascii="Century Gothic" w:hAnsi="Century Gothic"/>
        </w:rPr>
        <w:tab/>
        <w:t xml:space="preserve">Bankers' acceptances that are accepted by a member bank of the Federal Reserve System.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strike/>
        </w:rPr>
      </w:pPr>
      <w:r>
        <w:rPr>
          <w:rFonts w:ascii="Century Gothic" w:hAnsi="Century Gothic"/>
        </w:rPr>
        <w:lastRenderedPageBreak/>
        <w:t>6.</w:t>
      </w:r>
      <w:r>
        <w:rPr>
          <w:rFonts w:ascii="Century Gothic" w:hAnsi="Century Gothic"/>
        </w:rPr>
        <w:tab/>
        <w:t>Corporate debt obligations, preferred stock, mortgage-backed securities, commercial mortgage-backed securities, and asset-backed securities, provided the obligations meet the minimum credit criteria set forth elsewhere in this CIP.</w:t>
      </w:r>
      <w:r>
        <w:rPr>
          <w:rFonts w:ascii="Century Gothic" w:hAnsi="Century Gothic"/>
          <w:strike/>
        </w:rPr>
        <w:t xml:space="preserve"> </w:t>
      </w:r>
    </w:p>
    <w:p w:rsidR="00974902" w:rsidRDefault="00974902">
      <w:pPr>
        <w:pStyle w:val="PlainText"/>
        <w:ind w:left="720" w:hanging="720"/>
        <w:jc w:val="both"/>
        <w:rPr>
          <w:rFonts w:ascii="Century Gothic" w:hAnsi="Century Gothic"/>
          <w:strike/>
        </w:rPr>
      </w:pPr>
    </w:p>
    <w:p w:rsidR="00974902" w:rsidRDefault="00AF24A7">
      <w:pPr>
        <w:pStyle w:val="PlainText"/>
        <w:ind w:left="720" w:hanging="720"/>
        <w:jc w:val="both"/>
        <w:rPr>
          <w:rFonts w:ascii="Century Gothic" w:hAnsi="Century Gothic"/>
        </w:rPr>
      </w:pPr>
      <w:r>
        <w:rPr>
          <w:rFonts w:ascii="Century Gothic" w:hAnsi="Century Gothic"/>
        </w:rPr>
        <w:t xml:space="preserve">7. </w:t>
      </w:r>
      <w:r>
        <w:rPr>
          <w:rFonts w:ascii="Century Gothic" w:hAnsi="Century Gothic"/>
        </w:rPr>
        <w:tab/>
        <w:t xml:space="preserve">Municipal securities including Build America Bonds (BABs), limited to General Obligation or Essential Services bonds, provided the obligations meet the minimum credit criteria set forth elsewhere in this CIP. </w:t>
      </w:r>
    </w:p>
    <w:p w:rsidR="00974902" w:rsidRDefault="00974902">
      <w:pPr>
        <w:pStyle w:val="PlainText"/>
        <w:ind w:left="720" w:hanging="72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8.</w:t>
      </w:r>
      <w:r>
        <w:rPr>
          <w:rFonts w:ascii="Century Gothic" w:hAnsi="Century Gothic"/>
        </w:rPr>
        <w:tab/>
        <w:t>Institutional investment products including fixed annuities, variable annuities and guaranteed insurance contracts that are obligations of United States insurance companies.</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9.</w:t>
      </w:r>
      <w:r>
        <w:rPr>
          <w:rFonts w:ascii="Century Gothic" w:hAnsi="Century Gothic"/>
        </w:rPr>
        <w:tab/>
        <w:t xml:space="preserve">Common stocks traded on domestic exchanges, including over-the-counter markets and recognized third and fourth markets. </w:t>
      </w:r>
    </w:p>
    <w:p w:rsidR="00974902" w:rsidRDefault="00974902">
      <w:pPr>
        <w:pStyle w:val="PlainText"/>
        <w:ind w:left="720" w:hanging="72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10.</w:t>
      </w:r>
      <w:r>
        <w:rPr>
          <w:rFonts w:ascii="Century Gothic" w:hAnsi="Century Gothic"/>
        </w:rPr>
        <w:tab/>
        <w:t>Common stocks of foreign-domiciled companies traded on non-U.S. exchanges including over-the-counter markets.</w:t>
      </w:r>
    </w:p>
    <w:p w:rsidR="00974902" w:rsidRDefault="00974902">
      <w:pPr>
        <w:pStyle w:val="PlainText"/>
        <w:ind w:left="720" w:hanging="72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11.</w:t>
      </w:r>
      <w:r>
        <w:rPr>
          <w:rFonts w:ascii="Century Gothic" w:hAnsi="Century Gothic"/>
        </w:rPr>
        <w:tab/>
        <w:t>Collateralized repurchase agreements for which the underlying securities are obligations of the United States Treasury or agencies of the United States Government.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12.</w:t>
      </w:r>
      <w:r>
        <w:rPr>
          <w:rFonts w:ascii="Century Gothic" w:hAnsi="Century Gothic"/>
        </w:rPr>
        <w:tab/>
        <w:t>Commingled investment funds and mutual funds.</w:t>
      </w:r>
    </w:p>
    <w:p w:rsidR="00974902" w:rsidRDefault="00974902">
      <w:pPr>
        <w:pStyle w:val="PlainText"/>
        <w:ind w:left="36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13.</w:t>
      </w:r>
      <w:r>
        <w:rPr>
          <w:rFonts w:ascii="Century Gothic" w:hAnsi="Century Gothic"/>
        </w:rPr>
        <w:tab/>
        <w:t>American Depositary Receipts, 144(a) securities (with and without registration rights), and non-corporate bonds (including supranationals, sovereign and foreign bonds issued in USD).</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14.</w:t>
      </w:r>
      <w:r>
        <w:rPr>
          <w:rFonts w:ascii="Century Gothic" w:hAnsi="Century Gothic"/>
        </w:rPr>
        <w:tab/>
        <w:t xml:space="preserve">Exchange Traded Funds (ETF’s) traded on domestic exchanges, so long as consistent with the investment mandate, and guidelines. </w:t>
      </w:r>
    </w:p>
    <w:p w:rsidR="00974902" w:rsidRDefault="00974902">
      <w:pPr>
        <w:pStyle w:val="PlainText"/>
        <w:ind w:left="720" w:hanging="720"/>
        <w:jc w:val="both"/>
        <w:rPr>
          <w:rFonts w:ascii="Century Gothic" w:hAnsi="Century Gothic"/>
        </w:rPr>
      </w:pPr>
    </w:p>
    <w:p w:rsidR="00974902" w:rsidRDefault="00AF24A7">
      <w:pPr>
        <w:pStyle w:val="BodyTextIndent2"/>
        <w:tabs>
          <w:tab w:val="left" w:pos="720"/>
        </w:tabs>
        <w:ind w:left="0"/>
        <w:rPr>
          <w:rFonts w:ascii="Century Gothic" w:hAnsi="Century Gothic"/>
          <w:sz w:val="20"/>
          <w:szCs w:val="20"/>
        </w:rPr>
      </w:pPr>
      <w:r>
        <w:rPr>
          <w:rFonts w:ascii="Century Gothic" w:hAnsi="Century Gothic"/>
          <w:sz w:val="20"/>
          <w:szCs w:val="20"/>
        </w:rPr>
        <w:t>15.</w:t>
      </w:r>
      <w:r>
        <w:rPr>
          <w:rFonts w:ascii="Century Gothic" w:hAnsi="Century Gothic"/>
          <w:sz w:val="20"/>
          <w:szCs w:val="20"/>
        </w:rPr>
        <w:tab/>
        <w:t xml:space="preserve">Mortgage TBAs (“To Be Announced”) securities.  These securities require an equivalent </w:t>
      </w:r>
      <w:r>
        <w:rPr>
          <w:rFonts w:ascii="Century Gothic" w:hAnsi="Century Gothic"/>
          <w:sz w:val="20"/>
          <w:szCs w:val="20"/>
        </w:rPr>
        <w:tab/>
        <w:t xml:space="preserve">amount of cash equivalents set aside for future settlement of the forward agreement.  </w:t>
      </w:r>
    </w:p>
    <w:p w:rsidR="00974902" w:rsidRDefault="00974902">
      <w:pPr>
        <w:pStyle w:val="PlainText"/>
        <w:ind w:hanging="360"/>
        <w:jc w:val="both"/>
        <w:rPr>
          <w:rFonts w:ascii="Century Gothic" w:hAnsi="Century Gothic"/>
        </w:rPr>
      </w:pPr>
    </w:p>
    <w:p w:rsidR="00974902" w:rsidRDefault="00AF24A7">
      <w:pPr>
        <w:ind w:left="720" w:hanging="720"/>
        <w:jc w:val="both"/>
        <w:rPr>
          <w:rFonts w:ascii="Century Gothic" w:hAnsi="Century Gothic"/>
          <w:sz w:val="20"/>
          <w:szCs w:val="20"/>
        </w:rPr>
      </w:pPr>
      <w:r>
        <w:rPr>
          <w:rFonts w:ascii="Century Gothic" w:hAnsi="Century Gothic"/>
          <w:sz w:val="20"/>
          <w:szCs w:val="20"/>
        </w:rPr>
        <w:t>16.</w:t>
      </w:r>
      <w:r>
        <w:rPr>
          <w:rFonts w:ascii="Century Gothic" w:hAnsi="Century Gothic"/>
          <w:sz w:val="20"/>
          <w:szCs w:val="20"/>
        </w:rPr>
        <w:tab/>
        <w:t>Derivatives:  In general, the following uses of derivatives are approved for portfolio management purposes, although specific written permission must be granted to each manager on a case-by-case basis in formal written account guidelines.</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Substitute for physical</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Duration management</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Risk control</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Foreign currency hedging</w:t>
      </w:r>
    </w:p>
    <w:p w:rsidR="00974902" w:rsidRDefault="00974902">
      <w:pPr>
        <w:pStyle w:val="BodyText"/>
        <w:ind w:left="720"/>
        <w:rPr>
          <w:rFonts w:ascii="Century Gothic" w:hAnsi="Century Gothic"/>
          <w:sz w:val="20"/>
        </w:rPr>
      </w:pPr>
    </w:p>
    <w:p w:rsidR="00974902" w:rsidRDefault="00AF24A7">
      <w:pPr>
        <w:pStyle w:val="BodyText"/>
        <w:ind w:left="720"/>
        <w:rPr>
          <w:rFonts w:ascii="Century Gothic" w:hAnsi="Century Gothic"/>
          <w:sz w:val="20"/>
        </w:rPr>
      </w:pPr>
      <w:r>
        <w:rPr>
          <w:rFonts w:ascii="Century Gothic" w:hAnsi="Century Gothic"/>
          <w:sz w:val="20"/>
        </w:rPr>
        <w:t>Before a derivative security or derivative strategy is used by an investment manager, one or more of the following benefits must be demonstrated to the Board:</w:t>
      </w:r>
    </w:p>
    <w:p w:rsidR="00974902" w:rsidRDefault="00974902">
      <w:pPr>
        <w:numPr>
          <w:ilvl w:val="12"/>
          <w:numId w:val="0"/>
        </w:numPr>
        <w:ind w:left="360"/>
        <w:jc w:val="both"/>
        <w:rPr>
          <w:rFonts w:ascii="Century Gothic" w:hAnsi="Century Gothic"/>
          <w:sz w:val="20"/>
          <w:szCs w:val="20"/>
        </w:rPr>
      </w:pP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Increased liquidity.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Stabilized and enhance portfolio returns.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Lower transaction costs, including market impact costs.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Reduction in the time required to change the mix of the portfolio.</w:t>
      </w:r>
    </w:p>
    <w:p w:rsidR="00974902" w:rsidRDefault="00974902">
      <w:pPr>
        <w:jc w:val="both"/>
        <w:rPr>
          <w:rFonts w:ascii="Century Gothic" w:hAnsi="Century Gothic"/>
          <w:sz w:val="20"/>
          <w:szCs w:val="20"/>
        </w:rPr>
      </w:pPr>
    </w:p>
    <w:p w:rsidR="00974902" w:rsidRDefault="00AF24A7">
      <w:pPr>
        <w:pStyle w:val="BodyTextIndent"/>
        <w:rPr>
          <w:rFonts w:ascii="Century Gothic" w:hAnsi="Century Gothic"/>
          <w:color w:val="auto"/>
          <w:sz w:val="20"/>
        </w:rPr>
      </w:pPr>
      <w:r>
        <w:rPr>
          <w:rFonts w:ascii="Century Gothic" w:hAnsi="Century Gothic"/>
          <w:color w:val="auto"/>
          <w:sz w:val="20"/>
        </w:rPr>
        <w:t xml:space="preserve">Before any such derivative strategy is used by an Investment Manager, written permission for such use must be obtained from the Executive Director of the Prepaid Board.  </w:t>
      </w:r>
    </w:p>
    <w:p w:rsidR="00974902" w:rsidRDefault="00AF24A7">
      <w:pPr>
        <w:pStyle w:val="BodyTextIndent2"/>
        <w:rPr>
          <w:rFonts w:ascii="Century Gothic" w:hAnsi="Century Gothic"/>
          <w:sz w:val="20"/>
          <w:szCs w:val="20"/>
        </w:rPr>
      </w:pPr>
      <w:r>
        <w:rPr>
          <w:rFonts w:ascii="Century Gothic" w:hAnsi="Century Gothic"/>
          <w:sz w:val="20"/>
          <w:szCs w:val="20"/>
        </w:rPr>
        <w:lastRenderedPageBreak/>
        <w:t xml:space="preserve">Investment managers must keep in mind at all times the Board’s preference for safety and liquidity. </w:t>
      </w:r>
    </w:p>
    <w:p w:rsidR="00974902" w:rsidRDefault="00AF24A7">
      <w:pPr>
        <w:pStyle w:val="PlainText"/>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974902" w:rsidRDefault="00AF24A7">
      <w:pPr>
        <w:pStyle w:val="PlainText"/>
        <w:rPr>
          <w:rFonts w:ascii="Century Gothic" w:hAnsi="Century Gothic"/>
          <w:b/>
        </w:rPr>
      </w:pPr>
      <w:r>
        <w:rPr>
          <w:rFonts w:ascii="Century Gothic" w:hAnsi="Century Gothic"/>
          <w:b/>
        </w:rPr>
        <w:t>PROHIBITED INVESTMENT VEHICLES AND GENERAL INVESTMENT RESTRICTIONS</w:t>
      </w:r>
    </w:p>
    <w:p w:rsidR="00974902" w:rsidRDefault="00974902">
      <w:pPr>
        <w:pStyle w:val="PlainText"/>
        <w:jc w:val="both"/>
        <w:rPr>
          <w:rFonts w:ascii="Century Gothic" w:hAnsi="Century Gothic"/>
        </w:rPr>
      </w:pPr>
    </w:p>
    <w:p w:rsidR="00974902" w:rsidRDefault="00AF24A7">
      <w:pPr>
        <w:pStyle w:val="PlainText"/>
        <w:numPr>
          <w:ilvl w:val="0"/>
          <w:numId w:val="33"/>
        </w:numPr>
        <w:jc w:val="both"/>
        <w:rPr>
          <w:rFonts w:ascii="Century Gothic" w:hAnsi="Century Gothic"/>
        </w:rPr>
      </w:pPr>
      <w:r>
        <w:rPr>
          <w:rFonts w:ascii="Century Gothic" w:hAnsi="Century Gothic"/>
        </w:rPr>
        <w:t>Short selling of securities is prohibited.</w:t>
      </w:r>
    </w:p>
    <w:p w:rsidR="00974902" w:rsidRDefault="00974902">
      <w:pPr>
        <w:pStyle w:val="PlainText"/>
        <w:jc w:val="both"/>
        <w:rPr>
          <w:rFonts w:ascii="Century Gothic" w:hAnsi="Century Gothic"/>
        </w:rPr>
      </w:pPr>
    </w:p>
    <w:p w:rsidR="00974902" w:rsidRDefault="00AF24A7">
      <w:pPr>
        <w:pStyle w:val="PlainText"/>
        <w:numPr>
          <w:ilvl w:val="0"/>
          <w:numId w:val="33"/>
        </w:numPr>
        <w:jc w:val="both"/>
        <w:rPr>
          <w:rFonts w:ascii="Century Gothic" w:hAnsi="Century Gothic"/>
        </w:rPr>
      </w:pPr>
      <w:r>
        <w:rPr>
          <w:rFonts w:ascii="Century Gothic" w:hAnsi="Century Gothic"/>
        </w:rPr>
        <w:t xml:space="preserve">Maximum investment in the securities of any issuer, except U.S. Treasury, Agency, Agency Mortgage-Backed Securities, or repurchase agreements collateralized by U.S. Treasury or Agency securities, is the greater of 5% of the market value of the total Fund, or 2% greater than the appropriate benchmark weight. </w:t>
      </w:r>
    </w:p>
    <w:p w:rsidR="00974902" w:rsidRDefault="00974902">
      <w:pPr>
        <w:pStyle w:val="PlainText"/>
        <w:ind w:hanging="36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3.</w:t>
      </w:r>
      <w:r>
        <w:rPr>
          <w:rFonts w:ascii="Century Gothic" w:hAnsi="Century Gothic"/>
        </w:rPr>
        <w:tab/>
        <w:t>Debt obligations and preferred stock may not be rated less than Baa3 by Moody’s, or BBB- by Standard &amp; Poor’s or Fitch at the time of purchase.  Split-rated bonds will be governed by the Barclays Capital Index Inclusion Rules across the three rating agencies.  Debt obligations with Expected Ratings are permissible unless the Actual Rating causes the security to be out of compliance with the above guideline.</w:t>
      </w:r>
    </w:p>
    <w:p w:rsidR="00974902" w:rsidRDefault="00974902">
      <w:pPr>
        <w:pStyle w:val="PlainText"/>
        <w:ind w:hanging="360"/>
        <w:jc w:val="both"/>
        <w:rPr>
          <w:rFonts w:ascii="Century Gothic" w:hAnsi="Century Gothic"/>
        </w:rPr>
      </w:pPr>
    </w:p>
    <w:p w:rsidR="00974902" w:rsidRDefault="00AF24A7">
      <w:pPr>
        <w:jc w:val="both"/>
        <w:rPr>
          <w:rFonts w:ascii="Century Gothic" w:hAnsi="Century Gothic"/>
          <w:sz w:val="20"/>
          <w:szCs w:val="20"/>
        </w:rPr>
      </w:pPr>
      <w:r>
        <w:rPr>
          <w:rFonts w:ascii="Century Gothic" w:hAnsi="Century Gothic"/>
          <w:sz w:val="20"/>
          <w:szCs w:val="20"/>
        </w:rPr>
        <w:t>4.</w:t>
      </w:r>
      <w:r>
        <w:rPr>
          <w:rFonts w:ascii="Century Gothic" w:hAnsi="Century Gothic"/>
          <w:sz w:val="20"/>
          <w:szCs w:val="20"/>
        </w:rPr>
        <w:tab/>
        <w:t xml:space="preserve">The following derivative strategies and derivative instruments are considered inappropriate and </w:t>
      </w:r>
      <w:r>
        <w:rPr>
          <w:rFonts w:ascii="Century Gothic" w:hAnsi="Century Gothic"/>
          <w:sz w:val="20"/>
          <w:szCs w:val="20"/>
        </w:rPr>
        <w:tab/>
        <w:t xml:space="preserve">therefore not permitted for use in the managing of assets for the Florida Prepaid College </w:t>
      </w:r>
      <w:r>
        <w:rPr>
          <w:rFonts w:ascii="Century Gothic" w:hAnsi="Century Gothic"/>
          <w:sz w:val="20"/>
          <w:szCs w:val="20"/>
        </w:rPr>
        <w:tab/>
        <w:t xml:space="preserve">Program. </w:t>
      </w:r>
    </w:p>
    <w:p w:rsidR="00974902" w:rsidRDefault="00974902">
      <w:pPr>
        <w:numPr>
          <w:ilvl w:val="12"/>
          <w:numId w:val="0"/>
        </w:numPr>
        <w:jc w:val="both"/>
        <w:rPr>
          <w:rFonts w:ascii="Century Gothic" w:hAnsi="Century Gothic"/>
          <w:sz w:val="20"/>
          <w:szCs w:val="20"/>
        </w:rPr>
      </w:pP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Derivatives use for speculative purposes.</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Derivatives that leverage the account.</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Commodity options, swaps or other derivatives based on commodities. </w:t>
      </w:r>
    </w:p>
    <w:p w:rsidR="00974902" w:rsidRDefault="00974902">
      <w:pPr>
        <w:jc w:val="both"/>
        <w:rPr>
          <w:rFonts w:ascii="Century Gothic" w:hAnsi="Century Gothic"/>
          <w:b/>
          <w:bCs/>
          <w:sz w:val="20"/>
          <w:szCs w:val="20"/>
        </w:rPr>
      </w:pPr>
    </w:p>
    <w:p w:rsidR="00974902" w:rsidRDefault="00AF24A7">
      <w:pPr>
        <w:rPr>
          <w:rFonts w:ascii="Century Gothic" w:hAnsi="Century Gothic"/>
          <w:b/>
          <w:bCs/>
          <w:sz w:val="20"/>
          <w:szCs w:val="20"/>
        </w:rPr>
      </w:pPr>
      <w:r>
        <w:rPr>
          <w:rFonts w:ascii="Century Gothic" w:hAnsi="Century Gothic"/>
          <w:b/>
          <w:bCs/>
          <w:sz w:val="20"/>
          <w:szCs w:val="20"/>
        </w:rPr>
        <w:br w:type="page"/>
      </w:r>
    </w:p>
    <w:p w:rsidR="00974902" w:rsidRDefault="00AF24A7">
      <w:pPr>
        <w:jc w:val="both"/>
        <w:rPr>
          <w:rFonts w:ascii="Century Gothic" w:hAnsi="Century Gothic"/>
          <w:b/>
          <w:bCs/>
          <w:sz w:val="20"/>
          <w:szCs w:val="20"/>
        </w:rPr>
      </w:pPr>
      <w:r>
        <w:rPr>
          <w:rFonts w:ascii="Century Gothic" w:hAnsi="Century Gothic"/>
          <w:b/>
          <w:bCs/>
          <w:sz w:val="20"/>
          <w:szCs w:val="20"/>
        </w:rPr>
        <w:lastRenderedPageBreak/>
        <w:t>ASSET ALLOCATION POLICY</w:t>
      </w:r>
    </w:p>
    <w:p w:rsidR="00974902" w:rsidRDefault="00AF24A7">
      <w:pPr>
        <w:pStyle w:val="PlainText"/>
        <w:tabs>
          <w:tab w:val="left" w:pos="1665"/>
        </w:tabs>
        <w:ind w:hanging="360"/>
        <w:jc w:val="both"/>
        <w:rPr>
          <w:rFonts w:ascii="Century Gothic" w:hAnsi="Century Gothic"/>
        </w:rPr>
      </w:pPr>
      <w:r>
        <w:rPr>
          <w:rFonts w:ascii="Century Gothic" w:hAnsi="Century Gothic"/>
        </w:rPr>
        <w:tab/>
      </w:r>
      <w:r>
        <w:rPr>
          <w:rFonts w:ascii="Century Gothic" w:hAnsi="Century Gothic"/>
        </w:rPr>
        <w:tab/>
      </w:r>
    </w:p>
    <w:p w:rsidR="00974902" w:rsidRDefault="00AF24A7">
      <w:pPr>
        <w:pStyle w:val="PlainText"/>
        <w:jc w:val="both"/>
        <w:rPr>
          <w:rFonts w:ascii="Century Gothic" w:hAnsi="Century Gothic"/>
        </w:rPr>
      </w:pPr>
      <w:r>
        <w:rPr>
          <w:rFonts w:ascii="Century Gothic" w:hAnsi="Century Gothic"/>
        </w:rPr>
        <w:t>The Fund shall maintain an asset allocation such to maximize the probability of meeting the Program’s liabilities over the long term. An asset / liability study shall be conducted once every five years, and more often if warranted by a material change in the underlying liabilities or the investment environment. Taking into consideration the results of the asset liability study and the recommendations of the Program’s consultants, the Board will adopt an asset allocation which properly reflects its attitude towards the balancing of risk and return. The Board at this time has adopted an asset allocation policy which limits the amount of equities to fifteen percent (15%) of the market value of the total Fund, or the most current actuarial reserve balance as determined by the Board’s actuary, whichever is less. The Fund's principal objective in asset allocation is that of asset/liability matching. An immunized fixed income strategy emphasizing zero coupon U.S. Treasury issues is the dominant investment strategy employed to meet these goals. Other fixed income investments may be used in limited amounts to seek incremental yield. Actuarial reserve assets may be invested in other asset classes as directed by the Board.</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benchmarks for monitoring investment performance of the total Fund and asset class level shall be:</w:t>
      </w:r>
    </w:p>
    <w:p w:rsidR="00974902" w:rsidRDefault="00AF24A7">
      <w:pPr>
        <w:pStyle w:val="PlainText"/>
        <w:ind w:left="720" w:hanging="72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718"/>
        <w:gridCol w:w="2070"/>
        <w:gridCol w:w="1260"/>
        <w:gridCol w:w="4050"/>
      </w:tblGrid>
      <w:tr w:rsidR="00974902">
        <w:tc>
          <w:tcPr>
            <w:tcW w:w="2718" w:type="dxa"/>
            <w:tcBorders>
              <w:top w:val="single" w:sz="12" w:space="0" w:color="008000"/>
              <w:bottom w:val="single" w:sz="6" w:space="0" w:color="008000"/>
            </w:tcBorders>
          </w:tcPr>
          <w:p w:rsidR="00974902" w:rsidRDefault="00AF24A7">
            <w:pPr>
              <w:pStyle w:val="PlainText"/>
              <w:rPr>
                <w:rFonts w:ascii="Century Gothic" w:hAnsi="Century Gothic"/>
              </w:rPr>
            </w:pPr>
            <w:r>
              <w:rPr>
                <w:rFonts w:ascii="Century Gothic" w:hAnsi="Century Gothic"/>
                <w:u w:val="single"/>
              </w:rPr>
              <w:t>Asset Category</w:t>
            </w:r>
          </w:p>
        </w:tc>
        <w:tc>
          <w:tcPr>
            <w:tcW w:w="2070" w:type="dxa"/>
            <w:tcBorders>
              <w:top w:val="single" w:sz="12" w:space="0" w:color="008000"/>
              <w:bottom w:val="single" w:sz="6" w:space="0" w:color="008000"/>
            </w:tcBorders>
          </w:tcPr>
          <w:p w:rsidR="00974902" w:rsidRDefault="00AF24A7">
            <w:pPr>
              <w:pStyle w:val="PlainText"/>
              <w:rPr>
                <w:rFonts w:ascii="Century Gothic" w:hAnsi="Century Gothic"/>
              </w:rPr>
            </w:pPr>
            <w:r>
              <w:rPr>
                <w:rFonts w:ascii="Century Gothic" w:hAnsi="Century Gothic"/>
                <w:u w:val="single"/>
              </w:rPr>
              <w:t>Allocation</w:t>
            </w:r>
          </w:p>
        </w:tc>
        <w:tc>
          <w:tcPr>
            <w:tcW w:w="1260" w:type="dxa"/>
            <w:tcBorders>
              <w:top w:val="single" w:sz="12" w:space="0" w:color="008000"/>
              <w:bottom w:val="single" w:sz="6" w:space="0" w:color="008000"/>
            </w:tcBorders>
          </w:tcPr>
          <w:p w:rsidR="00974902" w:rsidRDefault="00AF24A7">
            <w:pPr>
              <w:pStyle w:val="PlainText"/>
              <w:rPr>
                <w:rFonts w:ascii="Century Gothic" w:hAnsi="Century Gothic"/>
                <w:u w:val="single"/>
              </w:rPr>
            </w:pPr>
            <w:r>
              <w:rPr>
                <w:rFonts w:ascii="Century Gothic" w:hAnsi="Century Gothic"/>
                <w:u w:val="single"/>
              </w:rPr>
              <w:t>Range</w:t>
            </w:r>
          </w:p>
        </w:tc>
        <w:tc>
          <w:tcPr>
            <w:tcW w:w="4050" w:type="dxa"/>
            <w:tcBorders>
              <w:top w:val="single" w:sz="12" w:space="0" w:color="008000"/>
              <w:bottom w:val="single" w:sz="6" w:space="0" w:color="008000"/>
            </w:tcBorders>
          </w:tcPr>
          <w:p w:rsidR="00974902" w:rsidRDefault="00AF24A7">
            <w:pPr>
              <w:pStyle w:val="PlainText"/>
              <w:rPr>
                <w:rFonts w:ascii="Century Gothic" w:hAnsi="Century Gothic"/>
              </w:rPr>
            </w:pPr>
            <w:r>
              <w:rPr>
                <w:rFonts w:ascii="Century Gothic" w:hAnsi="Century Gothic"/>
                <w:u w:val="single"/>
              </w:rPr>
              <w:t>Corresponding Index</w:t>
            </w:r>
          </w:p>
        </w:tc>
      </w:tr>
      <w:tr w:rsidR="00974902">
        <w:tc>
          <w:tcPr>
            <w:tcW w:w="2718" w:type="dxa"/>
          </w:tcPr>
          <w:p w:rsidR="00974902" w:rsidRDefault="00974902">
            <w:pPr>
              <w:pStyle w:val="PlainText"/>
              <w:jc w:val="both"/>
              <w:rPr>
                <w:rFonts w:ascii="Century Gothic" w:hAnsi="Century Gothic"/>
              </w:rPr>
            </w:pPr>
          </w:p>
        </w:tc>
        <w:tc>
          <w:tcPr>
            <w:tcW w:w="2070" w:type="dxa"/>
          </w:tcPr>
          <w:p w:rsidR="00974902" w:rsidRDefault="00974902">
            <w:pPr>
              <w:pStyle w:val="PlainText"/>
              <w:jc w:val="both"/>
              <w:rPr>
                <w:rFonts w:ascii="Century Gothic" w:hAnsi="Century Gothic"/>
              </w:rPr>
            </w:pPr>
          </w:p>
        </w:tc>
        <w:tc>
          <w:tcPr>
            <w:tcW w:w="1260" w:type="dxa"/>
          </w:tcPr>
          <w:p w:rsidR="00974902" w:rsidRDefault="00974902">
            <w:pPr>
              <w:pStyle w:val="PlainText"/>
              <w:jc w:val="both"/>
              <w:rPr>
                <w:rFonts w:ascii="Century Gothic" w:hAnsi="Century Gothic"/>
              </w:rPr>
            </w:pPr>
          </w:p>
        </w:tc>
        <w:tc>
          <w:tcPr>
            <w:tcW w:w="4050" w:type="dxa"/>
          </w:tcPr>
          <w:p w:rsidR="00974902" w:rsidRDefault="00974902">
            <w:pPr>
              <w:pStyle w:val="PlainText"/>
              <w:jc w:val="both"/>
              <w:rPr>
                <w:rFonts w:ascii="Century Gothic" w:hAnsi="Century Gothic"/>
              </w:rPr>
            </w:pPr>
          </w:p>
        </w:tc>
      </w:tr>
      <w:tr w:rsidR="00974902">
        <w:tc>
          <w:tcPr>
            <w:tcW w:w="2718" w:type="dxa"/>
          </w:tcPr>
          <w:p w:rsidR="00974902" w:rsidRDefault="00AF24A7">
            <w:pPr>
              <w:pStyle w:val="PlainText"/>
              <w:jc w:val="both"/>
              <w:rPr>
                <w:rFonts w:ascii="Century Gothic" w:hAnsi="Century Gothic"/>
              </w:rPr>
            </w:pPr>
            <w:r>
              <w:rPr>
                <w:rFonts w:ascii="Century Gothic" w:hAnsi="Century Gothic"/>
              </w:rPr>
              <w:t>Total Fund</w:t>
            </w:r>
          </w:p>
        </w:tc>
        <w:tc>
          <w:tcPr>
            <w:tcW w:w="2070" w:type="dxa"/>
          </w:tcPr>
          <w:p w:rsidR="00974902" w:rsidRDefault="00974902">
            <w:pPr>
              <w:pStyle w:val="PlainText"/>
              <w:jc w:val="both"/>
              <w:rPr>
                <w:rFonts w:ascii="Century Gothic" w:hAnsi="Century Gothic"/>
              </w:rPr>
            </w:pPr>
          </w:p>
        </w:tc>
        <w:tc>
          <w:tcPr>
            <w:tcW w:w="1260" w:type="dxa"/>
          </w:tcPr>
          <w:p w:rsidR="00974902" w:rsidRDefault="00974902">
            <w:pPr>
              <w:pStyle w:val="PlainText"/>
              <w:jc w:val="both"/>
              <w:rPr>
                <w:rFonts w:ascii="Century Gothic" w:hAnsi="Century Gothic"/>
              </w:rPr>
            </w:pPr>
          </w:p>
        </w:tc>
        <w:tc>
          <w:tcPr>
            <w:tcW w:w="4050" w:type="dxa"/>
          </w:tcPr>
          <w:p w:rsidR="00974902" w:rsidRDefault="00AF24A7">
            <w:pPr>
              <w:pStyle w:val="PlainText"/>
              <w:rPr>
                <w:rFonts w:ascii="Century Gothic" w:hAnsi="Century Gothic"/>
              </w:rPr>
            </w:pPr>
            <w:r>
              <w:rPr>
                <w:rFonts w:ascii="Century Gothic" w:hAnsi="Century Gothic"/>
              </w:rPr>
              <w:t xml:space="preserve">A policy-weighted blend of the Customized Equity and Immunized Fixed Income Benchmarks </w:t>
            </w:r>
          </w:p>
        </w:tc>
      </w:tr>
      <w:tr w:rsidR="00974902">
        <w:tc>
          <w:tcPr>
            <w:tcW w:w="2718" w:type="dxa"/>
          </w:tcPr>
          <w:p w:rsidR="00974902" w:rsidRDefault="00AF24A7">
            <w:pPr>
              <w:pStyle w:val="PlainText"/>
              <w:jc w:val="both"/>
              <w:rPr>
                <w:rFonts w:ascii="Century Gothic" w:hAnsi="Century Gothic"/>
              </w:rPr>
            </w:pPr>
            <w:r>
              <w:rPr>
                <w:rFonts w:ascii="Century Gothic" w:hAnsi="Century Gothic"/>
              </w:rPr>
              <w:t>Equities</w:t>
            </w:r>
          </w:p>
        </w:tc>
        <w:tc>
          <w:tcPr>
            <w:tcW w:w="2070" w:type="dxa"/>
          </w:tcPr>
          <w:p w:rsidR="00974902" w:rsidRDefault="00AF24A7">
            <w:pPr>
              <w:pStyle w:val="PlainText"/>
              <w:rPr>
                <w:rFonts w:ascii="Century Gothic" w:hAnsi="Century Gothic"/>
              </w:rPr>
            </w:pPr>
            <w:r>
              <w:rPr>
                <w:rFonts w:ascii="Century Gothic" w:hAnsi="Century Gothic"/>
              </w:rPr>
              <w:t>Actuarial Reserve</w:t>
            </w:r>
          </w:p>
        </w:tc>
        <w:tc>
          <w:tcPr>
            <w:tcW w:w="1260" w:type="dxa"/>
          </w:tcPr>
          <w:p w:rsidR="00974902" w:rsidRDefault="00AF24A7">
            <w:pPr>
              <w:pStyle w:val="PlainText"/>
              <w:jc w:val="both"/>
              <w:rPr>
                <w:rFonts w:ascii="Century Gothic" w:hAnsi="Century Gothic"/>
              </w:rPr>
            </w:pPr>
            <w:r>
              <w:rPr>
                <w:rFonts w:ascii="Century Gothic" w:hAnsi="Century Gothic"/>
              </w:rPr>
              <w:t xml:space="preserve">  0 – 15%</w:t>
            </w:r>
          </w:p>
        </w:tc>
        <w:tc>
          <w:tcPr>
            <w:tcW w:w="4050" w:type="dxa"/>
          </w:tcPr>
          <w:p w:rsidR="00974902" w:rsidRDefault="00AF24A7">
            <w:pPr>
              <w:pStyle w:val="PlainText"/>
              <w:jc w:val="both"/>
              <w:rPr>
                <w:rFonts w:ascii="Century Gothic" w:hAnsi="Century Gothic"/>
              </w:rPr>
            </w:pPr>
            <w:r>
              <w:rPr>
                <w:rFonts w:ascii="Century Gothic" w:hAnsi="Century Gothic"/>
              </w:rPr>
              <w:t>80% Russell 3000 and 20% MSCI EAFE</w:t>
            </w:r>
          </w:p>
        </w:tc>
      </w:tr>
      <w:tr w:rsidR="00974902">
        <w:tc>
          <w:tcPr>
            <w:tcW w:w="2718" w:type="dxa"/>
          </w:tcPr>
          <w:p w:rsidR="00974902" w:rsidRDefault="00AF24A7">
            <w:pPr>
              <w:pStyle w:val="PlainText"/>
              <w:jc w:val="both"/>
              <w:rPr>
                <w:rFonts w:ascii="Century Gothic" w:hAnsi="Century Gothic"/>
              </w:rPr>
            </w:pPr>
            <w:r>
              <w:rPr>
                <w:rFonts w:ascii="Century Gothic" w:hAnsi="Century Gothic"/>
              </w:rPr>
              <w:t>Immunized Fixed Income</w:t>
            </w:r>
          </w:p>
        </w:tc>
        <w:tc>
          <w:tcPr>
            <w:tcW w:w="2070" w:type="dxa"/>
          </w:tcPr>
          <w:p w:rsidR="00974902" w:rsidRDefault="00AF24A7">
            <w:pPr>
              <w:pStyle w:val="PlainText"/>
              <w:rPr>
                <w:rFonts w:ascii="Century Gothic" w:hAnsi="Century Gothic"/>
              </w:rPr>
            </w:pPr>
            <w:r>
              <w:rPr>
                <w:rFonts w:ascii="Century Gothic" w:hAnsi="Century Gothic"/>
              </w:rPr>
              <w:t xml:space="preserve">Up to 100% </w:t>
            </w:r>
          </w:p>
        </w:tc>
        <w:tc>
          <w:tcPr>
            <w:tcW w:w="1260" w:type="dxa"/>
          </w:tcPr>
          <w:p w:rsidR="00974902" w:rsidRDefault="00AF24A7">
            <w:pPr>
              <w:pStyle w:val="PlainText"/>
              <w:jc w:val="both"/>
              <w:rPr>
                <w:rFonts w:ascii="Century Gothic" w:hAnsi="Century Gothic"/>
              </w:rPr>
            </w:pPr>
            <w:r>
              <w:rPr>
                <w:rFonts w:ascii="Century Gothic" w:hAnsi="Century Gothic"/>
              </w:rPr>
              <w:t>85 – 100%</w:t>
            </w:r>
          </w:p>
        </w:tc>
        <w:tc>
          <w:tcPr>
            <w:tcW w:w="4050" w:type="dxa"/>
          </w:tcPr>
          <w:p w:rsidR="00974902" w:rsidRDefault="00AF24A7">
            <w:pPr>
              <w:pStyle w:val="PlainText"/>
              <w:jc w:val="both"/>
              <w:rPr>
                <w:rFonts w:ascii="Century Gothic" w:hAnsi="Century Gothic"/>
              </w:rPr>
            </w:pPr>
            <w:r>
              <w:rPr>
                <w:rFonts w:ascii="Century Gothic" w:hAnsi="Century Gothic"/>
              </w:rPr>
              <w:t>Customized Benchmark</w:t>
            </w:r>
          </w:p>
        </w:tc>
      </w:tr>
      <w:tr w:rsidR="00974902">
        <w:tc>
          <w:tcPr>
            <w:tcW w:w="2718" w:type="dxa"/>
            <w:tcBorders>
              <w:bottom w:val="single" w:sz="12" w:space="0" w:color="008000"/>
            </w:tcBorders>
          </w:tcPr>
          <w:p w:rsidR="00974902" w:rsidRDefault="00AF24A7">
            <w:pPr>
              <w:pStyle w:val="PlainText"/>
              <w:jc w:val="both"/>
              <w:rPr>
                <w:rFonts w:ascii="Century Gothic" w:hAnsi="Century Gothic"/>
              </w:rPr>
            </w:pPr>
            <w:r>
              <w:rPr>
                <w:rFonts w:ascii="Century Gothic" w:hAnsi="Century Gothic"/>
              </w:rPr>
              <w:t>Cash</w:t>
            </w:r>
          </w:p>
        </w:tc>
        <w:tc>
          <w:tcPr>
            <w:tcW w:w="2070" w:type="dxa"/>
            <w:tcBorders>
              <w:bottom w:val="single" w:sz="12" w:space="0" w:color="008000"/>
            </w:tcBorders>
          </w:tcPr>
          <w:p w:rsidR="00974902" w:rsidRDefault="00AF24A7">
            <w:pPr>
              <w:pStyle w:val="PlainText"/>
              <w:jc w:val="both"/>
              <w:rPr>
                <w:rFonts w:ascii="Century Gothic" w:hAnsi="Century Gothic"/>
              </w:rPr>
            </w:pPr>
            <w:r>
              <w:rPr>
                <w:rFonts w:ascii="Century Gothic" w:hAnsi="Century Gothic"/>
              </w:rPr>
              <w:t>0%</w:t>
            </w:r>
            <w:r>
              <w:rPr>
                <w:rFonts w:ascii="Century Gothic" w:hAnsi="Century Gothic"/>
              </w:rPr>
              <w:tab/>
            </w:r>
          </w:p>
        </w:tc>
        <w:tc>
          <w:tcPr>
            <w:tcW w:w="1260" w:type="dxa"/>
            <w:tcBorders>
              <w:bottom w:val="single" w:sz="12" w:space="0" w:color="008000"/>
            </w:tcBorders>
          </w:tcPr>
          <w:p w:rsidR="00974902" w:rsidRDefault="00AF24A7">
            <w:pPr>
              <w:pStyle w:val="PlainText"/>
              <w:jc w:val="both"/>
              <w:rPr>
                <w:rFonts w:ascii="Century Gothic" w:hAnsi="Century Gothic"/>
              </w:rPr>
            </w:pPr>
            <w:r>
              <w:rPr>
                <w:rFonts w:ascii="Century Gothic" w:hAnsi="Century Gothic"/>
              </w:rPr>
              <w:t xml:space="preserve">  0  –  5%</w:t>
            </w:r>
          </w:p>
        </w:tc>
        <w:tc>
          <w:tcPr>
            <w:tcW w:w="4050" w:type="dxa"/>
            <w:tcBorders>
              <w:bottom w:val="single" w:sz="12" w:space="0" w:color="008000"/>
            </w:tcBorders>
          </w:tcPr>
          <w:p w:rsidR="00974902" w:rsidRDefault="00AF24A7">
            <w:pPr>
              <w:pStyle w:val="PlainText"/>
              <w:jc w:val="both"/>
              <w:rPr>
                <w:rFonts w:ascii="Century Gothic" w:hAnsi="Century Gothic"/>
              </w:rPr>
            </w:pPr>
            <w:r>
              <w:rPr>
                <w:rFonts w:ascii="Century Gothic" w:hAnsi="Century Gothic"/>
              </w:rPr>
              <w:t>90-day US Gov't T-bills</w:t>
            </w:r>
          </w:p>
        </w:tc>
      </w:tr>
    </w:tbl>
    <w:p w:rsidR="00974902" w:rsidRDefault="00974902">
      <w:pPr>
        <w:pStyle w:val="PlainText"/>
        <w:ind w:left="720" w:hanging="72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Customized Fixed Income Benchmark will be reconstituted annually using the June 30 liability profile as determined by the Program’s actuary. The duration of the benchmark and the pattern of its cash flows will mirror that of the Program’s liabilities. The benchmark is comprised of United States Treasury Strip securities, Bloomberg Barclays Capital U.S Corporate Index, and Bloomberg Barclays Capital U.S.  Mortgage-Backed Securities Index, and other Authorized Investment Vehicles as defined in the CIP.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At no time shall the allocation to the fixed income segment of the Fund be less than at a fully funded status net of projected payments from participants.  That is, the fixed income segment shall always be greater than or equal to the total Fund value or actuarial liability minus projected cash flows from the participants, whichever is less.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rPr>
        <w:t>The total equity segment of the Fund, and each of its components shall be constructed using one or more investment manager or products such that in the aggregate the equity component is capitalization and style neutral to its corresponding Customized Equity index.</w:t>
      </w:r>
      <w:r>
        <w:rPr>
          <w:rFonts w:ascii="Century Gothic" w:hAnsi="Century Gothic"/>
          <w:b/>
        </w:rPr>
        <w:t xml:space="preserve"> </w:t>
      </w:r>
    </w:p>
    <w:p w:rsidR="00974902" w:rsidRDefault="00AF24A7">
      <w:pPr>
        <w:rPr>
          <w:rFonts w:ascii="Century Gothic" w:hAnsi="Century Gothic"/>
          <w:b/>
          <w:sz w:val="20"/>
          <w:szCs w:val="20"/>
        </w:rPr>
      </w:pPr>
      <w:r>
        <w:rPr>
          <w:rFonts w:ascii="Century Gothic" w:hAnsi="Century Gothic"/>
          <w:b/>
          <w:sz w:val="20"/>
          <w:szCs w:val="20"/>
        </w:rPr>
        <w:br w:type="page"/>
      </w:r>
    </w:p>
    <w:p w:rsidR="00974902" w:rsidRDefault="00974902">
      <w:pPr>
        <w:pStyle w:val="PlainText"/>
        <w:jc w:val="both"/>
        <w:rPr>
          <w:rFonts w:ascii="Century Gothic" w:hAnsi="Century Gothic"/>
          <w:b/>
        </w:rPr>
      </w:pPr>
    </w:p>
    <w:p w:rsidR="00974902" w:rsidRDefault="00974902">
      <w:pPr>
        <w:pStyle w:val="PlainText"/>
        <w:jc w:val="both"/>
        <w:rPr>
          <w:rFonts w:ascii="Century Gothic" w:hAnsi="Century Gothic"/>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2844"/>
        <w:gridCol w:w="3240"/>
      </w:tblGrid>
      <w:tr w:rsidR="00974902">
        <w:trPr>
          <w:jc w:val="center"/>
        </w:trPr>
        <w:tc>
          <w:tcPr>
            <w:tcW w:w="3384" w:type="dxa"/>
          </w:tcPr>
          <w:p w:rsidR="00974902" w:rsidRDefault="00AF24A7">
            <w:pPr>
              <w:pStyle w:val="PlainText"/>
              <w:jc w:val="center"/>
              <w:rPr>
                <w:rFonts w:ascii="Century Gothic" w:hAnsi="Century Gothic"/>
                <w:u w:val="single"/>
              </w:rPr>
            </w:pPr>
            <w:r>
              <w:rPr>
                <w:rFonts w:ascii="Century Gothic" w:hAnsi="Century Gothic"/>
                <w:u w:val="single"/>
              </w:rPr>
              <w:t>Equity Segments</w:t>
            </w:r>
          </w:p>
        </w:tc>
        <w:tc>
          <w:tcPr>
            <w:tcW w:w="2844" w:type="dxa"/>
          </w:tcPr>
          <w:p w:rsidR="00974902" w:rsidRDefault="00AF24A7">
            <w:pPr>
              <w:pStyle w:val="PlainText"/>
              <w:jc w:val="center"/>
              <w:rPr>
                <w:rFonts w:ascii="Century Gothic" w:hAnsi="Century Gothic"/>
                <w:u w:val="single"/>
              </w:rPr>
            </w:pPr>
            <w:r>
              <w:rPr>
                <w:rFonts w:ascii="Century Gothic" w:hAnsi="Century Gothic"/>
                <w:u w:val="single"/>
              </w:rPr>
              <w:t>Targeted Weight</w:t>
            </w:r>
          </w:p>
        </w:tc>
        <w:tc>
          <w:tcPr>
            <w:tcW w:w="3240" w:type="dxa"/>
          </w:tcPr>
          <w:p w:rsidR="00974902" w:rsidRDefault="00AF24A7">
            <w:pPr>
              <w:pStyle w:val="PlainText"/>
              <w:jc w:val="center"/>
              <w:rPr>
                <w:rFonts w:ascii="Century Gothic" w:hAnsi="Century Gothic"/>
                <w:u w:val="single"/>
              </w:rPr>
            </w:pPr>
            <w:r>
              <w:rPr>
                <w:rFonts w:ascii="Century Gothic" w:hAnsi="Century Gothic"/>
                <w:u w:val="single"/>
              </w:rPr>
              <w:t>Allowable Range</w:t>
            </w:r>
          </w:p>
        </w:tc>
      </w:tr>
      <w:tr w:rsidR="00974902">
        <w:trPr>
          <w:jc w:val="center"/>
        </w:trPr>
        <w:tc>
          <w:tcPr>
            <w:tcW w:w="3384" w:type="dxa"/>
          </w:tcPr>
          <w:p w:rsidR="00974902" w:rsidRDefault="00AF24A7">
            <w:pPr>
              <w:pStyle w:val="PlainText"/>
              <w:ind w:left="360"/>
              <w:jc w:val="both"/>
              <w:rPr>
                <w:rFonts w:ascii="Century Gothic" w:hAnsi="Century Gothic"/>
              </w:rPr>
            </w:pPr>
            <w:r>
              <w:rPr>
                <w:rFonts w:ascii="Century Gothic" w:hAnsi="Century Gothic"/>
              </w:rPr>
              <w:t>Growth Portfolio</w:t>
            </w:r>
          </w:p>
        </w:tc>
        <w:tc>
          <w:tcPr>
            <w:tcW w:w="2844" w:type="dxa"/>
          </w:tcPr>
          <w:p w:rsidR="00974902" w:rsidRDefault="00AF24A7">
            <w:pPr>
              <w:pStyle w:val="PlainText"/>
              <w:tabs>
                <w:tab w:val="decimal" w:pos="1116"/>
              </w:tabs>
              <w:jc w:val="both"/>
              <w:rPr>
                <w:rFonts w:ascii="Century Gothic" w:hAnsi="Century Gothic"/>
              </w:rPr>
            </w:pPr>
            <w:r>
              <w:rPr>
                <w:rFonts w:ascii="Century Gothic" w:hAnsi="Century Gothic"/>
              </w:rPr>
              <w:t>20.00%</w:t>
            </w:r>
          </w:p>
        </w:tc>
        <w:tc>
          <w:tcPr>
            <w:tcW w:w="3240" w:type="dxa"/>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0.00% - 25.00%</w:t>
            </w:r>
          </w:p>
        </w:tc>
      </w:tr>
      <w:tr w:rsidR="00974902">
        <w:trPr>
          <w:jc w:val="center"/>
        </w:trPr>
        <w:tc>
          <w:tcPr>
            <w:tcW w:w="3384" w:type="dxa"/>
          </w:tcPr>
          <w:p w:rsidR="00974902" w:rsidRDefault="00AF24A7">
            <w:pPr>
              <w:pStyle w:val="PlainText"/>
              <w:ind w:left="360"/>
              <w:jc w:val="both"/>
              <w:rPr>
                <w:rFonts w:ascii="Century Gothic" w:hAnsi="Century Gothic"/>
              </w:rPr>
            </w:pPr>
            <w:r>
              <w:rPr>
                <w:rFonts w:ascii="Century Gothic" w:hAnsi="Century Gothic"/>
              </w:rPr>
              <w:t>Value Portfolio</w:t>
            </w:r>
          </w:p>
        </w:tc>
        <w:tc>
          <w:tcPr>
            <w:tcW w:w="2844" w:type="dxa"/>
          </w:tcPr>
          <w:p w:rsidR="00974902" w:rsidRDefault="00AF24A7">
            <w:pPr>
              <w:pStyle w:val="PlainText"/>
              <w:tabs>
                <w:tab w:val="decimal" w:pos="1116"/>
              </w:tabs>
              <w:jc w:val="both"/>
              <w:rPr>
                <w:rFonts w:ascii="Century Gothic" w:hAnsi="Century Gothic"/>
              </w:rPr>
            </w:pPr>
            <w:r>
              <w:rPr>
                <w:rFonts w:ascii="Century Gothic" w:hAnsi="Century Gothic"/>
              </w:rPr>
              <w:t>20.00%</w:t>
            </w:r>
          </w:p>
        </w:tc>
        <w:tc>
          <w:tcPr>
            <w:tcW w:w="3240" w:type="dxa"/>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0.00% - 25.00%</w:t>
            </w:r>
          </w:p>
        </w:tc>
      </w:tr>
      <w:tr w:rsidR="00974902">
        <w:trPr>
          <w:jc w:val="center"/>
        </w:trPr>
        <w:tc>
          <w:tcPr>
            <w:tcW w:w="3384" w:type="dxa"/>
          </w:tcPr>
          <w:p w:rsidR="00974902" w:rsidRDefault="00AF24A7">
            <w:pPr>
              <w:pStyle w:val="PlainText"/>
              <w:ind w:left="360"/>
              <w:jc w:val="both"/>
              <w:rPr>
                <w:rFonts w:ascii="Century Gothic" w:hAnsi="Century Gothic"/>
              </w:rPr>
            </w:pPr>
            <w:r>
              <w:rPr>
                <w:rFonts w:ascii="Century Gothic" w:hAnsi="Century Gothic"/>
              </w:rPr>
              <w:t>Index Portfolio</w:t>
            </w:r>
          </w:p>
        </w:tc>
        <w:tc>
          <w:tcPr>
            <w:tcW w:w="2844" w:type="dxa"/>
          </w:tcPr>
          <w:p w:rsidR="00974902" w:rsidRDefault="00AF24A7">
            <w:pPr>
              <w:pStyle w:val="PlainText"/>
              <w:tabs>
                <w:tab w:val="decimal" w:pos="1116"/>
              </w:tabs>
              <w:jc w:val="both"/>
              <w:rPr>
                <w:rFonts w:ascii="Century Gothic" w:hAnsi="Century Gothic"/>
              </w:rPr>
            </w:pPr>
            <w:r>
              <w:rPr>
                <w:rFonts w:ascii="Century Gothic" w:hAnsi="Century Gothic"/>
              </w:rPr>
              <w:t xml:space="preserve">20.00% </w:t>
            </w:r>
          </w:p>
        </w:tc>
        <w:tc>
          <w:tcPr>
            <w:tcW w:w="3240" w:type="dxa"/>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0.00% - 75.00%</w:t>
            </w:r>
          </w:p>
        </w:tc>
      </w:tr>
      <w:tr w:rsidR="00974902">
        <w:trPr>
          <w:jc w:val="center"/>
        </w:trPr>
        <w:tc>
          <w:tcPr>
            <w:tcW w:w="3384" w:type="dxa"/>
          </w:tcPr>
          <w:p w:rsidR="00974902" w:rsidRDefault="00AF24A7">
            <w:pPr>
              <w:pStyle w:val="PlainText"/>
              <w:ind w:left="360"/>
              <w:jc w:val="both"/>
              <w:rPr>
                <w:rFonts w:ascii="Century Gothic" w:hAnsi="Century Gothic"/>
              </w:rPr>
            </w:pPr>
            <w:r>
              <w:rPr>
                <w:rFonts w:ascii="Century Gothic" w:hAnsi="Century Gothic"/>
              </w:rPr>
              <w:t>Mid Cap Portfolio</w:t>
            </w:r>
          </w:p>
        </w:tc>
        <w:tc>
          <w:tcPr>
            <w:tcW w:w="2844" w:type="dxa"/>
          </w:tcPr>
          <w:p w:rsidR="00974902" w:rsidRDefault="00AF24A7">
            <w:pPr>
              <w:pStyle w:val="PlainText"/>
              <w:tabs>
                <w:tab w:val="decimal" w:pos="1116"/>
              </w:tabs>
              <w:jc w:val="both"/>
              <w:rPr>
                <w:rFonts w:ascii="Century Gothic" w:hAnsi="Century Gothic"/>
              </w:rPr>
            </w:pPr>
            <w:r>
              <w:rPr>
                <w:rFonts w:ascii="Century Gothic" w:hAnsi="Century Gothic"/>
              </w:rPr>
              <w:t>10.00%</w:t>
            </w:r>
          </w:p>
        </w:tc>
        <w:tc>
          <w:tcPr>
            <w:tcW w:w="3240" w:type="dxa"/>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5.00% - 15.00%</w:t>
            </w:r>
          </w:p>
        </w:tc>
      </w:tr>
      <w:tr w:rsidR="00974902">
        <w:trPr>
          <w:jc w:val="center"/>
        </w:trPr>
        <w:tc>
          <w:tcPr>
            <w:tcW w:w="3384" w:type="dxa"/>
          </w:tcPr>
          <w:p w:rsidR="00974902" w:rsidRDefault="00AF24A7">
            <w:pPr>
              <w:pStyle w:val="PlainText"/>
              <w:ind w:left="360"/>
              <w:jc w:val="both"/>
              <w:rPr>
                <w:rFonts w:ascii="Century Gothic" w:hAnsi="Century Gothic"/>
              </w:rPr>
            </w:pPr>
            <w:r>
              <w:rPr>
                <w:rFonts w:ascii="Century Gothic" w:hAnsi="Century Gothic"/>
              </w:rPr>
              <w:t>Small Cap Portfolio</w:t>
            </w:r>
          </w:p>
        </w:tc>
        <w:tc>
          <w:tcPr>
            <w:tcW w:w="2844" w:type="dxa"/>
          </w:tcPr>
          <w:p w:rsidR="00974902" w:rsidRDefault="00AF24A7">
            <w:pPr>
              <w:pStyle w:val="PlainText"/>
              <w:tabs>
                <w:tab w:val="decimal" w:pos="1116"/>
              </w:tabs>
              <w:jc w:val="both"/>
              <w:rPr>
                <w:rFonts w:ascii="Century Gothic" w:hAnsi="Century Gothic"/>
              </w:rPr>
            </w:pPr>
            <w:r>
              <w:rPr>
                <w:rFonts w:ascii="Century Gothic" w:hAnsi="Century Gothic"/>
              </w:rPr>
              <w:t>10.00%</w:t>
            </w:r>
          </w:p>
        </w:tc>
        <w:tc>
          <w:tcPr>
            <w:tcW w:w="3240" w:type="dxa"/>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5.00% - 15.00%</w:t>
            </w:r>
          </w:p>
        </w:tc>
      </w:tr>
      <w:tr w:rsidR="00974902">
        <w:trPr>
          <w:jc w:val="center"/>
        </w:trPr>
        <w:tc>
          <w:tcPr>
            <w:tcW w:w="3384" w:type="dxa"/>
            <w:tcBorders>
              <w:top w:val="single" w:sz="4" w:space="0" w:color="auto"/>
              <w:left w:val="single" w:sz="4" w:space="0" w:color="auto"/>
              <w:bottom w:val="single" w:sz="4" w:space="0" w:color="auto"/>
              <w:right w:val="single" w:sz="4" w:space="0" w:color="auto"/>
            </w:tcBorders>
          </w:tcPr>
          <w:p w:rsidR="00974902" w:rsidRDefault="00AF24A7">
            <w:pPr>
              <w:pStyle w:val="PlainText"/>
              <w:ind w:left="360"/>
              <w:jc w:val="both"/>
              <w:rPr>
                <w:rFonts w:ascii="Century Gothic" w:hAnsi="Century Gothic"/>
              </w:rPr>
            </w:pPr>
            <w:r>
              <w:rPr>
                <w:rFonts w:ascii="Century Gothic" w:hAnsi="Century Gothic"/>
              </w:rPr>
              <w:t>International Portfolio</w:t>
            </w:r>
          </w:p>
        </w:tc>
        <w:tc>
          <w:tcPr>
            <w:tcW w:w="2844" w:type="dxa"/>
            <w:tcBorders>
              <w:top w:val="single" w:sz="4" w:space="0" w:color="auto"/>
              <w:left w:val="single" w:sz="4" w:space="0" w:color="auto"/>
              <w:bottom w:val="single" w:sz="4" w:space="0" w:color="auto"/>
              <w:right w:val="single" w:sz="4" w:space="0" w:color="auto"/>
            </w:tcBorders>
          </w:tcPr>
          <w:p w:rsidR="00974902" w:rsidRDefault="00AF24A7">
            <w:pPr>
              <w:pStyle w:val="PlainText"/>
              <w:tabs>
                <w:tab w:val="decimal" w:pos="1116"/>
              </w:tabs>
              <w:jc w:val="both"/>
              <w:rPr>
                <w:rFonts w:ascii="Century Gothic" w:hAnsi="Century Gothic"/>
              </w:rPr>
            </w:pPr>
            <w:r>
              <w:rPr>
                <w:rFonts w:ascii="Century Gothic" w:hAnsi="Century Gothic"/>
              </w:rPr>
              <w:t>20.00%</w:t>
            </w:r>
          </w:p>
        </w:tc>
        <w:tc>
          <w:tcPr>
            <w:tcW w:w="3240" w:type="dxa"/>
            <w:tcBorders>
              <w:top w:val="single" w:sz="4" w:space="0" w:color="auto"/>
              <w:left w:val="single" w:sz="4" w:space="0" w:color="auto"/>
              <w:bottom w:val="single" w:sz="4" w:space="0" w:color="auto"/>
              <w:right w:val="single" w:sz="4" w:space="0" w:color="auto"/>
            </w:tcBorders>
          </w:tcPr>
          <w:p w:rsidR="00974902" w:rsidRDefault="00AF24A7">
            <w:pPr>
              <w:pStyle w:val="PlainText"/>
              <w:tabs>
                <w:tab w:val="decimal" w:pos="972"/>
                <w:tab w:val="decimal" w:pos="1887"/>
              </w:tabs>
              <w:ind w:left="612"/>
              <w:jc w:val="both"/>
              <w:rPr>
                <w:rFonts w:ascii="Century Gothic" w:hAnsi="Century Gothic"/>
              </w:rPr>
            </w:pPr>
            <w:r>
              <w:rPr>
                <w:rFonts w:ascii="Century Gothic" w:hAnsi="Century Gothic"/>
              </w:rPr>
              <w:t>15.00% - 25.00%</w:t>
            </w:r>
          </w:p>
        </w:tc>
      </w:tr>
    </w:tbl>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Based on the market values of the total Fund as of June 30th as determined by the Board’s actuary and after approval by the Board, the allocation of fixed income and equity will be rebalanced no later than September 30</w:t>
      </w:r>
      <w:r>
        <w:rPr>
          <w:rFonts w:ascii="Century Gothic" w:hAnsi="Century Gothic"/>
          <w:vertAlign w:val="superscript"/>
        </w:rPr>
        <w:t>th</w:t>
      </w:r>
      <w:r>
        <w:rPr>
          <w:rFonts w:ascii="Century Gothic" w:hAnsi="Century Gothic"/>
        </w:rPr>
        <w:t xml:space="preserve"> of each year, in order to have the equity component equal fifteen percent (15%) of the total Fund, or the actuarial reserve balance, whichever is less.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In the fixed income segment and subject to Board direction, the allocation to the managers will be rebalanced so that in aggregate the segment is consistent with the customized benchmark.</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In the equity segment and in the absence of strong evidence supporting a deviation from these baseline allocations, and subject to Board direction, the allocations to each style and market capitalization of management will be rebalanced in a manner designed to minimize portfolio impact, including transaction costs.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In order to accommodate asset value fluctuations due to short-term economic or market conditions, the asset allocation of the equity segment can vary among asset categories within the ranges noted above.  At a minimum, the Board will review the asset allocation and the equity segment targets on a quarterly basis and will make a determination as to whether to rebalance at that time.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In developing this asset allocation policy, the total Fund has been designed to be fully invested, and thus no portion of the Fund has been targeted for cash.  However, managers may raise cash balances in accordance with their individual investment guidelines.  In the course of operations the Board may deem it appropriate to maintain a cash balance outside of the managers' portfolios in order to meet the Program's liquidity and allocation needs.</w:t>
      </w:r>
    </w:p>
    <w:p w:rsidR="00974902" w:rsidRDefault="00AF24A7">
      <w:pPr>
        <w:pStyle w:val="PlainText"/>
        <w:jc w:val="both"/>
        <w:rPr>
          <w:rFonts w:ascii="Century Gothic" w:hAnsi="Century Gothic"/>
        </w:rPr>
      </w:pPr>
      <w:r>
        <w:rPr>
          <w:rFonts w:ascii="Century Gothic" w:hAnsi="Century Gothic"/>
        </w:rPr>
        <w:tab/>
      </w:r>
      <w:r>
        <w:rPr>
          <w:rFonts w:ascii="Century Gothic" w:hAnsi="Century Gothic"/>
        </w:rPr>
        <w:tab/>
      </w:r>
    </w:p>
    <w:p w:rsidR="00974902" w:rsidRDefault="00AF24A7">
      <w:pPr>
        <w:pStyle w:val="PlainText"/>
        <w:jc w:val="both"/>
        <w:rPr>
          <w:rFonts w:ascii="Century Gothic" w:hAnsi="Century Gothic"/>
          <w:b/>
        </w:rPr>
      </w:pPr>
      <w:r>
        <w:rPr>
          <w:rFonts w:ascii="Century Gothic" w:hAnsi="Century Gothic"/>
          <w:b/>
        </w:rPr>
        <w:t>MANAGER SELECTION AND EVALUATION</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Board has elected to employ multiple investment managers with complementary investment skills and/or styles. As part of this multi-manager structure, managers are hired for their expected contribution to the overall portfolio performance over the various market cycles based on their style, stated strategy, and asset mix.  Therefore, the Board shall evaluate manager performance over a sufficient time horizon, and in the context of the prevailing market environment, in order to properly assess each manager's contribution to the overall portfolio. In general, a three or more year period of time will be used to evaluate a manager’s success or failure at attaining agreed-upon goals.  On an interim basis, portfolio risk and investment performance will be monitored continually to ensure that the management of Program assets remains consistent with the style and objective for which the manager was retained.</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At a minimum, investment manager reviews will include a quarterly quantitative performance review conducted by the consultant.  Specific evaluation criteria are stated in the investment guidelines that have been individually prepared for each manager pursuant to their specific role in the Program's multi-manager strategy.  As necessary, the evaluation may also include an annual site visit to review each portfolio manager's operations.  This portion of the evaluation will be conducted by a member of the Board or the Investment Committee, as may be designated either by the Board or the Investment Committee.</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lastRenderedPageBreak/>
        <w:t>IMPLEMENTATION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All money invested for the Program by the investment managers after the adoption of this Comprehensive Investment Plan shall conform to this Statement.</w:t>
      </w:r>
    </w:p>
    <w:p w:rsidR="00974902" w:rsidRDefault="00AF24A7">
      <w:pPr>
        <w:pStyle w:val="PlainText"/>
        <w:jc w:val="both"/>
        <w:rPr>
          <w:rFonts w:ascii="Century Gothic" w:hAnsi="Century Gothic"/>
        </w:rPr>
      </w:pPr>
      <w:r>
        <w:rPr>
          <w:rFonts w:ascii="Century Gothic" w:hAnsi="Century Gothic"/>
        </w:rPr>
        <w:t xml:space="preserve"> </w:t>
      </w:r>
    </w:p>
    <w:p w:rsidR="00974902" w:rsidRDefault="00AF24A7">
      <w:pPr>
        <w:pStyle w:val="PlainText"/>
        <w:jc w:val="both"/>
        <w:rPr>
          <w:rFonts w:ascii="Century Gothic" w:hAnsi="Century Gothic"/>
        </w:rPr>
      </w:pPr>
      <w:r>
        <w:rPr>
          <w:rFonts w:ascii="Century Gothic" w:hAnsi="Century Gothic"/>
        </w:rPr>
        <w:t xml:space="preserve">The following guidelines have been established:  (1) to ensure that the manager continually adheres to all regulations administered by any regulatory authority charged with oversight responsibility;  (2) to limit the Fund's exposure to unintended risk;  (3) to ensure that the manager maintains the style of management for which they were retained; and (4) to provide objective, reasonable criteria to the manager of the Board's expectations. </w:t>
      </w:r>
    </w:p>
    <w:p w:rsidR="00974902" w:rsidRDefault="00AF24A7">
      <w:pPr>
        <w:pStyle w:val="PlainText"/>
        <w:jc w:val="center"/>
        <w:rPr>
          <w:rFonts w:ascii="Century Gothic" w:hAnsi="Century Gothic"/>
          <w:b/>
        </w:rPr>
      </w:pPr>
      <w:r>
        <w:rPr>
          <w:rFonts w:ascii="Century Gothic" w:hAnsi="Century Gothic"/>
        </w:rPr>
        <w:br w:type="page"/>
      </w:r>
      <w:r>
        <w:rPr>
          <w:rFonts w:ascii="Century Gothic" w:hAnsi="Century Gothic"/>
          <w:b/>
        </w:rPr>
        <w:lastRenderedPageBreak/>
        <w:t>PART I</w:t>
      </w:r>
    </w:p>
    <w:p w:rsidR="00974902" w:rsidRDefault="00AF24A7">
      <w:pPr>
        <w:pStyle w:val="PlainText"/>
        <w:jc w:val="center"/>
        <w:rPr>
          <w:rFonts w:ascii="Century Gothic" w:hAnsi="Century Gothic"/>
          <w:b/>
        </w:rPr>
      </w:pPr>
      <w:r>
        <w:rPr>
          <w:rFonts w:ascii="Century Gothic" w:hAnsi="Century Gothic"/>
          <w:b/>
        </w:rPr>
        <w:t>PASSIVE FIXED INCOME</w:t>
      </w:r>
    </w:p>
    <w:p w:rsidR="00974902" w:rsidRDefault="00AF24A7">
      <w:pPr>
        <w:pStyle w:val="PlainText"/>
        <w:jc w:val="center"/>
        <w:rPr>
          <w:rFonts w:ascii="Century Gothic" w:hAnsi="Century Gothic"/>
        </w:rPr>
      </w:pPr>
      <w:r>
        <w:rPr>
          <w:rFonts w:ascii="Century Gothic" w:hAnsi="Century Gothic"/>
          <w:b/>
        </w:rPr>
        <w:t>INVESTMENT GUIDELINES</w:t>
      </w:r>
    </w:p>
    <w:p w:rsidR="00974902" w:rsidRDefault="00974902">
      <w:pPr>
        <w:pStyle w:val="PlainText"/>
        <w:jc w:val="center"/>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Board has chosen to employ a multi-manager fixed income investment strategy.  In order to reduce the relative volatility of the actively managed portfolios and control overall investment management costs, an allocation to passive fixed income management is maintained.  The objective of this component of the portfolio is to replicate the returns of the Customized Benchmark which consists of U.S. Treasury Strips, BC Corporate Index, and BC Fixed-Rate Mortgage-Backed Index.</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PASSIVE FIXED INCOME GUIDELINES</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The portfolio will be managed in a manner that protects the Program's funded status relative to changes in its projected liabilities due to changes in interest rates.  Therefore, the primary purpose of the portfolio shall be on limiting actuarial reserve volatility.</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The guidelines permit, within the framework and limitations of the broader CIP, all securities eligible for inclusion in the indices which comprise the Customized Benchmark.</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 xml:space="preserve">The total duration of the portfolio shall not differ from the total duration of the benchmark by more than +/- one-quarter of one year. </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The individual number of holdings in the portfolio shall be sufficient enough to minimize the near-term tracking error relative to the Customized Benchmark.</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Sector allocations shall be made consistent with the sector weights within the Customized Benchmark.</w:t>
      </w:r>
    </w:p>
    <w:p w:rsidR="00974902" w:rsidRDefault="00974902">
      <w:pPr>
        <w:pStyle w:val="PlainText"/>
        <w:jc w:val="both"/>
        <w:rPr>
          <w:rFonts w:ascii="Century Gothic" w:hAnsi="Century Gothic"/>
        </w:rPr>
      </w:pPr>
    </w:p>
    <w:p w:rsidR="00974902" w:rsidRDefault="00AF24A7">
      <w:pPr>
        <w:pStyle w:val="PlainText"/>
        <w:numPr>
          <w:ilvl w:val="0"/>
          <w:numId w:val="35"/>
        </w:numPr>
        <w:jc w:val="both"/>
        <w:rPr>
          <w:rFonts w:ascii="Century Gothic" w:hAnsi="Century Gothic"/>
        </w:rPr>
      </w:pPr>
      <w:r>
        <w:rPr>
          <w:rFonts w:ascii="Century Gothic" w:hAnsi="Century Gothic"/>
        </w:rPr>
        <w:t>Any cash and cash equivalent investments shall be made in liquid Authorized Investment Vehicles as defined in the CIP.</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73"/>
        </w:numPr>
        <w:ind w:hanging="720"/>
        <w:jc w:val="both"/>
        <w:rPr>
          <w:rFonts w:ascii="Century Gothic" w:hAnsi="Century Gothic"/>
        </w:rPr>
      </w:pPr>
      <w:r>
        <w:rPr>
          <w:rFonts w:ascii="Century Gothic" w:hAnsi="Century Gothic"/>
        </w:rPr>
        <w:t>The use of futures, options and swaps will be permitted subject to the restrictions imposed by “AUTHORIZED INVESTMENT VEHICLES” Paragraph 16.</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br w:type="page"/>
      </w:r>
    </w:p>
    <w:p w:rsidR="00974902" w:rsidRDefault="00AF24A7">
      <w:pPr>
        <w:pStyle w:val="PlainText"/>
        <w:jc w:val="both"/>
        <w:rPr>
          <w:rFonts w:ascii="Century Gothic" w:hAnsi="Century Gothic"/>
          <w:b/>
        </w:rPr>
      </w:pPr>
      <w:r>
        <w:rPr>
          <w:rFonts w:ascii="Century Gothic" w:hAnsi="Century Gothic"/>
          <w:b/>
        </w:rPr>
        <w:lastRenderedPageBreak/>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Customized Benchmark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performance is expected to meet the Customized Benchmark.</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Customized Benchmark of less than 10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br w:type="page"/>
      </w:r>
    </w:p>
    <w:p w:rsidR="00974902" w:rsidRDefault="00AF24A7">
      <w:pPr>
        <w:pStyle w:val="PlainText"/>
        <w:jc w:val="center"/>
        <w:rPr>
          <w:rFonts w:ascii="Century Gothic" w:hAnsi="Century Gothic"/>
          <w:b/>
        </w:rPr>
      </w:pPr>
      <w:r>
        <w:rPr>
          <w:rFonts w:ascii="Century Gothic" w:hAnsi="Century Gothic"/>
          <w:b/>
        </w:rPr>
        <w:lastRenderedPageBreak/>
        <w:t>PART II</w:t>
      </w:r>
    </w:p>
    <w:p w:rsidR="00974902" w:rsidRDefault="00AF24A7">
      <w:pPr>
        <w:pStyle w:val="PlainText"/>
        <w:jc w:val="center"/>
        <w:rPr>
          <w:rFonts w:ascii="Century Gothic" w:hAnsi="Century Gothic"/>
          <w:b/>
        </w:rPr>
      </w:pPr>
      <w:r>
        <w:rPr>
          <w:rFonts w:ascii="Century Gothic" w:hAnsi="Century Gothic"/>
          <w:b/>
        </w:rPr>
        <w:t>ACTIVE FIXED INCOME</w:t>
      </w:r>
    </w:p>
    <w:p w:rsidR="00974902" w:rsidRDefault="00AF24A7">
      <w:pPr>
        <w:pStyle w:val="PlainText"/>
        <w:jc w:val="center"/>
        <w:rPr>
          <w:rFonts w:ascii="Century Gothic" w:hAnsi="Century Gothic"/>
        </w:rPr>
      </w:pPr>
      <w:r>
        <w:rPr>
          <w:rFonts w:ascii="Century Gothic" w:hAnsi="Century Gothic"/>
          <w:b/>
        </w:rPr>
        <w:t>INVESTMENT GUIDELINES</w:t>
      </w:r>
    </w:p>
    <w:p w:rsidR="00974902" w:rsidRDefault="00974902">
      <w:pPr>
        <w:pStyle w:val="PlainText"/>
        <w:jc w:val="center"/>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Fixed income managers will be retained as part of a multi-manager investment strategy.  Their function within this strategy is to manage an enhanced immunized fixed-income portfolio.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enhanced immunization style of management shall mean that the manager shall immunize the liabilities of the Program by structuring the assets in such a way that the value of the Program's assets increase (decreases) in conjunction with increases (decreases) with the value of the liabilities due to the changes in interest rates.  The manager shall be permitted to attempt to add value to the portfolio relative to the liabilities through modest duration and yield management and through active sector and security selection, to the extent permitted by this policy.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However, cash holdings may represent an integral part of the manager's desired portfolio structure.  Therefore, for purposes of this constraint cash will be defined as securities with a duration of less than three months and manager shall be allowed a maximum cash position of not more than five percent.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ENHANCED IMMUNIZATION GUIDELINES</w:t>
      </w:r>
    </w:p>
    <w:p w:rsidR="00974902" w:rsidRDefault="00974902">
      <w:pPr>
        <w:pStyle w:val="PlainText"/>
        <w:jc w:val="both"/>
        <w:rPr>
          <w:rFonts w:ascii="Century Gothic" w:hAnsi="Century Gothic"/>
        </w:rPr>
      </w:pPr>
    </w:p>
    <w:p w:rsidR="00974902" w:rsidRDefault="00AF24A7">
      <w:pPr>
        <w:pStyle w:val="PlainText"/>
        <w:numPr>
          <w:ilvl w:val="0"/>
          <w:numId w:val="54"/>
        </w:numPr>
        <w:jc w:val="both"/>
        <w:rPr>
          <w:rFonts w:ascii="Century Gothic" w:hAnsi="Century Gothic"/>
        </w:rPr>
      </w:pPr>
      <w:r>
        <w:rPr>
          <w:rFonts w:ascii="Century Gothic" w:hAnsi="Century Gothic"/>
        </w:rPr>
        <w:t>The portfolio will be managed in a manner that protects the Program's funded status relative to changes in its projected liabilities due to changes in interest rates.  Therefore, the primary purpose of the portfolio shall be on limiting actuarial reserve volatility.</w:t>
      </w:r>
    </w:p>
    <w:p w:rsidR="00974902" w:rsidRDefault="00974902">
      <w:pPr>
        <w:pStyle w:val="PlainText"/>
        <w:ind w:left="108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2.</w:t>
      </w:r>
      <w:r>
        <w:rPr>
          <w:rFonts w:ascii="Century Gothic" w:hAnsi="Century Gothic"/>
        </w:rPr>
        <w:tab/>
        <w:t xml:space="preserve">The total duration of the portfolio shall not differ from the total duration of the benchmark by </w:t>
      </w:r>
      <w:r>
        <w:rPr>
          <w:rFonts w:ascii="Century Gothic" w:hAnsi="Century Gothic"/>
        </w:rPr>
        <w:tab/>
        <w:t xml:space="preserve">more than +/- three-quarters of one year.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3.</w:t>
      </w:r>
      <w:r>
        <w:rPr>
          <w:rFonts w:ascii="Century Gothic" w:hAnsi="Century Gothic"/>
        </w:rPr>
        <w:tab/>
        <w:t xml:space="preserve">Investments in fixed income instruments can be made in sectors and securities as authorized in </w:t>
      </w:r>
      <w:r>
        <w:rPr>
          <w:rFonts w:ascii="Century Gothic" w:hAnsi="Century Gothic"/>
        </w:rPr>
        <w:tab/>
        <w:t>the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4.</w:t>
      </w:r>
      <w:r>
        <w:rPr>
          <w:rFonts w:ascii="Century Gothic" w:hAnsi="Century Gothic"/>
        </w:rPr>
        <w:tab/>
        <w:t xml:space="preserve">Sector allocations shall be made so that the portfolio is well diversified such that it meets its </w:t>
      </w:r>
      <w:r>
        <w:rPr>
          <w:rFonts w:ascii="Century Gothic" w:hAnsi="Century Gothic"/>
        </w:rPr>
        <w:tab/>
        <w:t>liability requirements.</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5.</w:t>
      </w:r>
      <w:r>
        <w:rPr>
          <w:rFonts w:ascii="Century Gothic" w:hAnsi="Century Gothic"/>
        </w:rPr>
        <w:tab/>
        <w:t xml:space="preserve">The maximum investment for any issue, except U.S. Treasury, Agency, and Agency Mortgage-Backed Securities, is the greater of 5% of the portfolio market value or 2% greater than the security’s benchmark weight.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6.</w:t>
      </w:r>
      <w:r>
        <w:rPr>
          <w:rFonts w:ascii="Century Gothic" w:hAnsi="Century Gothic"/>
        </w:rPr>
        <w:tab/>
        <w:t>The maximum investment in Build America Bonds (BABs) is limited to 2% of the market value of the manager’s portfolio.</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7.</w:t>
      </w:r>
      <w:r>
        <w:rPr>
          <w:rFonts w:ascii="Century Gothic" w:hAnsi="Century Gothic"/>
        </w:rPr>
        <w:tab/>
        <w:t xml:space="preserve">The maximum investment in 144(a) bonds without Registration Rights is limited to 3% of the </w:t>
      </w:r>
      <w:r>
        <w:rPr>
          <w:rFonts w:ascii="Century Gothic" w:hAnsi="Century Gothic"/>
        </w:rPr>
        <w:tab/>
        <w:t>market value of the manager’s portfolio.</w:t>
      </w:r>
    </w:p>
    <w:p w:rsidR="00974902" w:rsidRDefault="00AF24A7">
      <w:pPr>
        <w:rPr>
          <w:rFonts w:ascii="Century Gothic" w:hAnsi="Century Gothic"/>
          <w:sz w:val="20"/>
          <w:szCs w:val="20"/>
        </w:rPr>
      </w:pPr>
      <w:r>
        <w:rPr>
          <w:rFonts w:ascii="Century Gothic" w:hAnsi="Century Gothic"/>
          <w:sz w:val="20"/>
          <w:szCs w:val="20"/>
        </w:rPr>
        <w:br w:type="page"/>
      </w:r>
    </w:p>
    <w:p w:rsidR="00974902" w:rsidRDefault="00AF24A7">
      <w:pPr>
        <w:pStyle w:val="PlainText"/>
        <w:jc w:val="both"/>
        <w:rPr>
          <w:rFonts w:ascii="Century Gothic" w:hAnsi="Century Gothic"/>
        </w:rPr>
      </w:pPr>
      <w:r>
        <w:rPr>
          <w:rFonts w:ascii="Century Gothic" w:hAnsi="Century Gothic"/>
        </w:rPr>
        <w:lastRenderedPageBreak/>
        <w:t>8.</w:t>
      </w:r>
      <w:r>
        <w:rPr>
          <w:rFonts w:ascii="Century Gothic" w:hAnsi="Century Gothic"/>
        </w:rPr>
        <w:tab/>
        <w:t xml:space="preserve">Cash and cash equivalent investments shall be made in liquid Authorized Investment Vehicles </w:t>
      </w:r>
      <w:r>
        <w:rPr>
          <w:rFonts w:ascii="Century Gothic" w:hAnsi="Century Gothic"/>
        </w:rPr>
        <w:tab/>
        <w:t>as defined in the CIP.</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9.</w:t>
      </w:r>
      <w:r>
        <w:rPr>
          <w:rFonts w:ascii="Century Gothic" w:hAnsi="Century Gothic"/>
        </w:rPr>
        <w:tab/>
        <w:t xml:space="preserve">The use of futures, options and swaps will be permitted subject to the restrictions imposed by </w:t>
      </w:r>
      <w:r>
        <w:rPr>
          <w:rFonts w:ascii="Century Gothic" w:hAnsi="Century Gothic"/>
        </w:rPr>
        <w:tab/>
        <w:t>“AUTHORIZED INVESTMENT VEHICLES” Paragraph 16.</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10.</w:t>
      </w:r>
      <w:r>
        <w:rPr>
          <w:rFonts w:ascii="Century Gothic" w:hAnsi="Century Gothic"/>
        </w:rPr>
        <w:tab/>
        <w:t>A maximum allocation of 50% of the market value of the manager’s portfolio to corporate debt, asset-backed securities and mortgage backed securities is permitted. On a periodic basis, the Board may set a maximum and minimum allocation each to corporate debt, asset-backed securities and mortgage-backed securities.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72"/>
        </w:numPr>
        <w:ind w:hanging="720"/>
        <w:jc w:val="both"/>
        <w:rPr>
          <w:rFonts w:ascii="Century Gothic" w:hAnsi="Century Gothic"/>
        </w:rPr>
      </w:pPr>
      <w:r>
        <w:rPr>
          <w:rFonts w:ascii="Century Gothic" w:hAnsi="Century Gothic"/>
        </w:rPr>
        <w:t xml:space="preserve">Use of margin is prohibited except as may be required in the use of futures, options and swaps as permitted in subparagraph 9 of this section. </w:t>
      </w:r>
    </w:p>
    <w:p w:rsidR="00974902" w:rsidRDefault="00974902">
      <w:pPr>
        <w:pStyle w:val="PlainText"/>
        <w:ind w:hanging="720"/>
        <w:jc w:val="both"/>
        <w:rPr>
          <w:rFonts w:ascii="Century Gothic" w:hAnsi="Century Gothic"/>
        </w:rPr>
      </w:pPr>
    </w:p>
    <w:p w:rsidR="00974902" w:rsidRDefault="00AF24A7">
      <w:pPr>
        <w:pStyle w:val="PlainText"/>
        <w:numPr>
          <w:ilvl w:val="0"/>
          <w:numId w:val="72"/>
        </w:numPr>
        <w:ind w:hanging="720"/>
        <w:jc w:val="both"/>
        <w:rPr>
          <w:rFonts w:ascii="Century Gothic" w:hAnsi="Century Gothic"/>
        </w:rPr>
      </w:pPr>
      <w:r>
        <w:rPr>
          <w:rFonts w:ascii="Century Gothic" w:hAnsi="Century Gothic"/>
        </w:rPr>
        <w:t>Other than futures, options and swaps, the use of derivative securities that have not been specifically approved by the Board in written form is prohibited.</w:t>
      </w:r>
    </w:p>
    <w:p w:rsidR="00974902" w:rsidRDefault="00974902">
      <w:pPr>
        <w:pStyle w:val="PlainText"/>
        <w:ind w:hanging="720"/>
        <w:jc w:val="both"/>
        <w:rPr>
          <w:rFonts w:ascii="Century Gothic" w:hAnsi="Century Gothic"/>
        </w:rPr>
      </w:pPr>
    </w:p>
    <w:p w:rsidR="00974902" w:rsidRDefault="00AF24A7">
      <w:pPr>
        <w:pStyle w:val="PlainText"/>
        <w:numPr>
          <w:ilvl w:val="0"/>
          <w:numId w:val="72"/>
        </w:numPr>
        <w:ind w:hanging="72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customized benchmark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active manager’s performance, net of fees, is expected to exceed the customized benchmark.</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effectiveness of the manager's duration, sector and security allocations will be reviewed to determine if the manager has demonstrated, on a total return basis, the ability to add value above the benchmark.</w:t>
      </w:r>
    </w:p>
    <w:p w:rsidR="00974902" w:rsidRDefault="00974902">
      <w:pPr>
        <w:pStyle w:val="PlainText"/>
        <w:jc w:val="both"/>
        <w:rPr>
          <w:rFonts w:ascii="Century Gothic" w:hAnsi="Century Gothic"/>
        </w:rPr>
      </w:pPr>
    </w:p>
    <w:p w:rsidR="00974902" w:rsidRDefault="00AF24A7">
      <w:pPr>
        <w:pStyle w:val="PlainText"/>
        <w:jc w:val="center"/>
        <w:rPr>
          <w:rFonts w:ascii="Century Gothic" w:hAnsi="Century Gothic"/>
          <w:b/>
        </w:rPr>
      </w:pPr>
      <w:r>
        <w:rPr>
          <w:rFonts w:ascii="Century Gothic" w:hAnsi="Century Gothic"/>
        </w:rPr>
        <w:br w:type="page"/>
      </w:r>
      <w:r>
        <w:rPr>
          <w:rFonts w:ascii="Century Gothic" w:hAnsi="Century Gothic"/>
          <w:b/>
        </w:rPr>
        <w:lastRenderedPageBreak/>
        <w:t>PART III</w:t>
      </w:r>
    </w:p>
    <w:p w:rsidR="00974902" w:rsidRDefault="00AF24A7">
      <w:pPr>
        <w:pStyle w:val="PlainText"/>
        <w:jc w:val="center"/>
        <w:rPr>
          <w:rFonts w:ascii="Century Gothic" w:hAnsi="Century Gothic"/>
          <w:b/>
        </w:rPr>
      </w:pPr>
      <w:r>
        <w:rPr>
          <w:rFonts w:ascii="Century Gothic" w:hAnsi="Century Gothic"/>
          <w:b/>
        </w:rPr>
        <w:t>LARGE CAP GROWTH EQUITY</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hopes to achieve its goal of reducing total portfolio volatility while enhancing total return through diversification of the equity asset class using multiple styles of management.  Large cap growth equity manager(s) may be retained as part of a multi-manager investment strategy.  For purposes of this CIP, growth is a style that seeks to purchase stocks of companies, which offer the best combination of strong earnings growth and valuation. This allocation will be represented in the policy benchmark by the Russell 1000 Growth Index.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only five percent.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36"/>
        </w:numPr>
        <w:tabs>
          <w:tab w:val="clear" w:pos="810"/>
          <w:tab w:val="num" w:pos="720"/>
        </w:tabs>
        <w:ind w:left="720"/>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an adequate history and that has at least $1 billion in market capitalization.  Further, the parent must have been previously listed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jc w:val="both"/>
        <w:rPr>
          <w:rFonts w:ascii="Century Gothic" w:hAnsi="Century Gothic"/>
        </w:rPr>
      </w:pPr>
    </w:p>
    <w:p w:rsidR="00974902" w:rsidRDefault="00AF24A7">
      <w:pPr>
        <w:pStyle w:val="PlainText"/>
        <w:numPr>
          <w:ilvl w:val="0"/>
          <w:numId w:val="36"/>
        </w:numPr>
        <w:tabs>
          <w:tab w:val="clear" w:pos="810"/>
          <w:tab w:val="num" w:pos="720"/>
        </w:tabs>
        <w:ind w:left="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1000 Growth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AF24A7">
      <w:pPr>
        <w:pStyle w:val="PlainText"/>
        <w:numPr>
          <w:ilvl w:val="0"/>
          <w:numId w:val="36"/>
        </w:numPr>
        <w:tabs>
          <w:tab w:val="clear" w:pos="810"/>
          <w:tab w:val="left" w:pos="720"/>
        </w:tabs>
        <w:ind w:left="720"/>
        <w:jc w:val="both"/>
        <w:rPr>
          <w:rFonts w:ascii="Century Gothic" w:hAnsi="Century Gothic"/>
        </w:rPr>
      </w:pPr>
      <w:r>
        <w:rPr>
          <w:rFonts w:ascii="Century Gothic" w:hAnsi="Century Gothic"/>
        </w:rPr>
        <w:br w:type="page"/>
      </w:r>
    </w:p>
    <w:p w:rsidR="00974902" w:rsidRDefault="00974902">
      <w:pPr>
        <w:pStyle w:val="PlainText"/>
        <w:jc w:val="both"/>
        <w:rPr>
          <w:rFonts w:ascii="Century Gothic" w:hAnsi="Century Gothic"/>
        </w:rPr>
      </w:pPr>
    </w:p>
    <w:p w:rsidR="00974902" w:rsidRDefault="00AF24A7">
      <w:pPr>
        <w:pStyle w:val="PlainText"/>
        <w:numPr>
          <w:ilvl w:val="0"/>
          <w:numId w:val="71"/>
        </w:numPr>
        <w:jc w:val="both"/>
        <w:rPr>
          <w:rFonts w:ascii="Century Gothic" w:hAnsi="Century Gothic"/>
        </w:rPr>
      </w:pPr>
      <w:r>
        <w:rPr>
          <w:rFonts w:ascii="Century Gothic" w:hAnsi="Century Gothic"/>
        </w:rPr>
        <w:t xml:space="preserve">Equity investments shall be made only in securities listed on a United States stock exchange or traded on NASDAQ in the United States or in other, recognized domestic markets.  </w:t>
      </w:r>
    </w:p>
    <w:p w:rsidR="00974902" w:rsidRDefault="00974902">
      <w:pPr>
        <w:pStyle w:val="PlainText"/>
        <w:jc w:val="both"/>
        <w:rPr>
          <w:rFonts w:ascii="Century Gothic" w:hAnsi="Century Gothic"/>
        </w:rPr>
      </w:pPr>
    </w:p>
    <w:p w:rsidR="00974902" w:rsidRDefault="00AF24A7">
      <w:pPr>
        <w:pStyle w:val="PlainText"/>
        <w:numPr>
          <w:ilvl w:val="0"/>
          <w:numId w:val="71"/>
        </w:numPr>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37"/>
        </w:numPr>
        <w:tabs>
          <w:tab w:val="clear" w:pos="360"/>
          <w:tab w:val="num" w:pos="720"/>
        </w:tabs>
        <w:jc w:val="both"/>
        <w:rPr>
          <w:rFonts w:ascii="Century Gothic" w:hAnsi="Century Gothic"/>
        </w:rPr>
      </w:pPr>
      <w:r>
        <w:rPr>
          <w:rFonts w:ascii="Century Gothic" w:hAnsi="Century Gothic"/>
        </w:rPr>
        <w:t>Use of margin is prohibited.</w:t>
      </w:r>
    </w:p>
    <w:p w:rsidR="00974902" w:rsidRDefault="00974902">
      <w:pPr>
        <w:pStyle w:val="PlainText"/>
        <w:jc w:val="both"/>
        <w:rPr>
          <w:rFonts w:ascii="Century Gothic" w:hAnsi="Century Gothic"/>
        </w:rPr>
      </w:pPr>
    </w:p>
    <w:p w:rsidR="00974902" w:rsidRDefault="00AF24A7">
      <w:pPr>
        <w:pStyle w:val="PlainText"/>
        <w:numPr>
          <w:ilvl w:val="0"/>
          <w:numId w:val="37"/>
        </w:numPr>
        <w:tabs>
          <w:tab w:val="clear" w:pos="360"/>
          <w:tab w:val="num" w:pos="720"/>
        </w:tabs>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jc w:val="both"/>
        <w:rPr>
          <w:rFonts w:ascii="Century Gothic" w:hAnsi="Century Gothic"/>
        </w:rPr>
      </w:pPr>
    </w:p>
    <w:p w:rsidR="00974902" w:rsidRDefault="00AF24A7">
      <w:pPr>
        <w:pStyle w:val="PlainText"/>
        <w:numPr>
          <w:ilvl w:val="0"/>
          <w:numId w:val="37"/>
        </w:numPr>
        <w:tabs>
          <w:tab w:val="clear" w:pos="360"/>
          <w:tab w:val="num" w:pos="720"/>
        </w:tabs>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1000 Growth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1000 Growth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1000 Growth Index is expected to rank below the highest quartile of managers in the Large Cap Growth peer group over rolling three year time periods.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b/>
      </w: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performance is expected to meet the Russell 1000 Growth Index.</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beta of the portfolio over any three-year rolling time period and calculated using monthly data shall not be less than .98 nor greater than 1.02.</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AF24A7">
      <w:pPr>
        <w:rPr>
          <w:rFonts w:ascii="Century Gothic" w:hAnsi="Century Gothic"/>
          <w:b/>
          <w:sz w:val="20"/>
          <w:szCs w:val="20"/>
        </w:rPr>
      </w:pPr>
      <w:r>
        <w:rPr>
          <w:rFonts w:ascii="Century Gothic" w:hAnsi="Century Gothic"/>
          <w:b/>
          <w:sz w:val="20"/>
          <w:szCs w:val="20"/>
        </w:rPr>
        <w:br w:type="page"/>
      </w:r>
    </w:p>
    <w:p w:rsidR="00974902" w:rsidRDefault="00AF24A7">
      <w:pPr>
        <w:jc w:val="center"/>
        <w:rPr>
          <w:rFonts w:ascii="Century Gothic" w:hAnsi="Century Gothic"/>
          <w:b/>
          <w:sz w:val="20"/>
          <w:szCs w:val="20"/>
        </w:rPr>
      </w:pPr>
      <w:r>
        <w:rPr>
          <w:rFonts w:ascii="Century Gothic" w:hAnsi="Century Gothic"/>
          <w:b/>
          <w:sz w:val="20"/>
          <w:szCs w:val="20"/>
        </w:rPr>
        <w:lastRenderedPageBreak/>
        <w:t>PART IV</w:t>
      </w:r>
    </w:p>
    <w:p w:rsidR="00974902" w:rsidRDefault="00AF24A7">
      <w:pPr>
        <w:pStyle w:val="PlainText"/>
        <w:jc w:val="center"/>
        <w:rPr>
          <w:rFonts w:ascii="Century Gothic" w:hAnsi="Century Gothic"/>
          <w:b/>
        </w:rPr>
      </w:pPr>
      <w:r>
        <w:rPr>
          <w:rFonts w:ascii="Century Gothic" w:hAnsi="Century Gothic"/>
          <w:b/>
        </w:rPr>
        <w:t>LARGE CAP VALUE EQUITY</w:t>
      </w:r>
    </w:p>
    <w:p w:rsidR="00974902" w:rsidRDefault="00AF24A7">
      <w:pPr>
        <w:pStyle w:val="PlainText"/>
        <w:jc w:val="center"/>
        <w:rPr>
          <w:rFonts w:ascii="Century Gothic" w:hAnsi="Century Gothic"/>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hopes to achieve its goal of reducing total portfolio volatility while enhancing total return through diversification of the equity asset class. Large cap value manager(s) may be retained as part of a multi-manager investment strategy.  For purposes of this CIP, value is a style that seeks to purchase stocks in companies generally exhibiting lower price/earnings, lower price/book and higher dividend yield than the average large cap equity.   This allocation will be represented in the policy benchmark by the Russell 1000 Value Index.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only five percent.  During periods of market over-valuation, the manager may have difficulty in identifying solid companies that could be purchased within their value style of management.  Therefore,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40"/>
        </w:numPr>
        <w:tabs>
          <w:tab w:val="clear" w:pos="360"/>
          <w:tab w:val="num" w:pos="720"/>
        </w:tabs>
        <w:ind w:left="720" w:hanging="720"/>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an adequate history and that has at least $1 billion in market capitalization.  Further, the parent must have been previously listed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jc w:val="both"/>
        <w:rPr>
          <w:rFonts w:ascii="Century Gothic" w:hAnsi="Century Gothic"/>
        </w:rPr>
      </w:pPr>
    </w:p>
    <w:p w:rsidR="00974902" w:rsidRDefault="00AF24A7">
      <w:pPr>
        <w:pStyle w:val="PlainText"/>
        <w:numPr>
          <w:ilvl w:val="0"/>
          <w:numId w:val="40"/>
        </w:numPr>
        <w:tabs>
          <w:tab w:val="clear" w:pos="360"/>
          <w:tab w:val="num" w:pos="720"/>
        </w:tabs>
        <w:ind w:left="720" w:hanging="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1000 Value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AF24A7">
      <w:pPr>
        <w:rPr>
          <w:rFonts w:ascii="Century Gothic" w:hAnsi="Century Gothic"/>
          <w:sz w:val="20"/>
          <w:szCs w:val="20"/>
        </w:rPr>
      </w:pPr>
      <w:r>
        <w:rPr>
          <w:rFonts w:ascii="Century Gothic" w:hAnsi="Century Gothic"/>
          <w:sz w:val="20"/>
          <w:szCs w:val="20"/>
        </w:rPr>
        <w:br w:type="page"/>
      </w:r>
    </w:p>
    <w:p w:rsidR="00974902" w:rsidRDefault="00974902">
      <w:pPr>
        <w:pStyle w:val="PlainText"/>
        <w:jc w:val="both"/>
        <w:rPr>
          <w:rFonts w:ascii="Century Gothic" w:hAnsi="Century Gothic"/>
        </w:rPr>
      </w:pPr>
    </w:p>
    <w:p w:rsidR="00974902" w:rsidRDefault="00AF24A7">
      <w:pPr>
        <w:pStyle w:val="PlainText"/>
        <w:numPr>
          <w:ilvl w:val="0"/>
          <w:numId w:val="40"/>
        </w:numPr>
        <w:tabs>
          <w:tab w:val="clear" w:pos="360"/>
          <w:tab w:val="num" w:pos="720"/>
        </w:tabs>
        <w:ind w:left="720" w:hanging="720"/>
        <w:jc w:val="both"/>
        <w:rPr>
          <w:rFonts w:ascii="Century Gothic" w:hAnsi="Century Gothic"/>
        </w:rPr>
      </w:pPr>
      <w:r>
        <w:rPr>
          <w:rFonts w:ascii="Century Gothic" w:hAnsi="Century Gothic"/>
        </w:rPr>
        <w:t xml:space="preserve">Equity investments shall be made only in securities listed on a United States stock exchange or traded on NASDAQ in the United States.  </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47"/>
        </w:numPr>
        <w:tabs>
          <w:tab w:val="clear" w:pos="1080"/>
          <w:tab w:val="num" w:pos="720"/>
        </w:tabs>
        <w:ind w:hanging="1080"/>
        <w:jc w:val="both"/>
        <w:rPr>
          <w:rFonts w:ascii="Century Gothic" w:hAnsi="Century Gothic"/>
        </w:rPr>
      </w:pPr>
      <w:r>
        <w:rPr>
          <w:rFonts w:ascii="Century Gothic" w:hAnsi="Century Gothic"/>
        </w:rPr>
        <w:t>Use of margin is prohibited.</w:t>
      </w:r>
    </w:p>
    <w:p w:rsidR="00974902" w:rsidRDefault="00974902">
      <w:pPr>
        <w:pStyle w:val="PlainText"/>
        <w:ind w:left="360"/>
        <w:jc w:val="both"/>
        <w:rPr>
          <w:rFonts w:ascii="Century Gothic" w:hAnsi="Century Gothic"/>
        </w:rPr>
      </w:pPr>
    </w:p>
    <w:p w:rsidR="00974902" w:rsidRDefault="00AF24A7">
      <w:pPr>
        <w:pStyle w:val="PlainText"/>
        <w:numPr>
          <w:ilvl w:val="0"/>
          <w:numId w:val="47"/>
        </w:numPr>
        <w:tabs>
          <w:tab w:val="clear" w:pos="1080"/>
          <w:tab w:val="num" w:pos="720"/>
        </w:tabs>
        <w:ind w:hanging="1080"/>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ind w:left="360"/>
        <w:jc w:val="both"/>
        <w:rPr>
          <w:rFonts w:ascii="Century Gothic" w:hAnsi="Century Gothic"/>
        </w:rPr>
      </w:pPr>
    </w:p>
    <w:p w:rsidR="00974902" w:rsidRDefault="00AF24A7">
      <w:pPr>
        <w:pStyle w:val="PlainText"/>
        <w:numPr>
          <w:ilvl w:val="0"/>
          <w:numId w:val="47"/>
        </w:numPr>
        <w:tabs>
          <w:tab w:val="clear" w:pos="1080"/>
          <w:tab w:val="num" w:pos="720"/>
        </w:tabs>
        <w:ind w:hanging="108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1000 Value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1000 Value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1000 Value Index is expected to rank below the highest quartile of managers in the Large Cap Value peer group over rolling three year time periods.</w:t>
      </w:r>
    </w:p>
    <w:p w:rsidR="00974902" w:rsidRDefault="00974902">
      <w:pPr>
        <w:pStyle w:val="PlainText"/>
        <w:ind w:left="360"/>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performance is expected to meet the Russell 1000 Value Index.</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beta of the portfolio over any three-year rolling time period and calculated using monthly data shall not be less than .98 nor greater than 1.02.</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AF24A7">
      <w:pPr>
        <w:rPr>
          <w:rFonts w:ascii="Century Gothic" w:hAnsi="Century Gothic"/>
          <w:b/>
          <w:bCs/>
          <w:sz w:val="20"/>
          <w:szCs w:val="20"/>
        </w:rPr>
      </w:pPr>
      <w:r>
        <w:rPr>
          <w:rFonts w:ascii="Century Gothic" w:hAnsi="Century Gothic"/>
          <w:b/>
          <w:bCs/>
          <w:sz w:val="20"/>
          <w:szCs w:val="20"/>
        </w:rPr>
        <w:br w:type="page"/>
      </w:r>
    </w:p>
    <w:p w:rsidR="00974902" w:rsidRDefault="00AF24A7">
      <w:pPr>
        <w:pStyle w:val="PlainText"/>
        <w:jc w:val="center"/>
        <w:rPr>
          <w:rFonts w:ascii="Century Gothic" w:hAnsi="Century Gothic"/>
          <w:b/>
          <w:bCs/>
        </w:rPr>
      </w:pPr>
      <w:r>
        <w:rPr>
          <w:rFonts w:ascii="Century Gothic" w:hAnsi="Century Gothic"/>
          <w:b/>
          <w:bCs/>
        </w:rPr>
        <w:lastRenderedPageBreak/>
        <w:t>PART V</w:t>
      </w:r>
    </w:p>
    <w:p w:rsidR="00974902" w:rsidRDefault="00AF24A7">
      <w:pPr>
        <w:pStyle w:val="PlainText"/>
        <w:jc w:val="center"/>
        <w:rPr>
          <w:rFonts w:ascii="Century Gothic" w:hAnsi="Century Gothic"/>
          <w:b/>
          <w:bCs/>
        </w:rPr>
      </w:pPr>
      <w:r>
        <w:rPr>
          <w:rFonts w:ascii="Century Gothic" w:hAnsi="Century Gothic"/>
          <w:b/>
          <w:bCs/>
        </w:rPr>
        <w:t>LARGE CAP CORE</w:t>
      </w:r>
    </w:p>
    <w:p w:rsidR="00974902" w:rsidRDefault="00AF24A7">
      <w:pPr>
        <w:pStyle w:val="PlainText"/>
        <w:jc w:val="center"/>
        <w:rPr>
          <w:rFonts w:ascii="Century Gothic" w:hAnsi="Century Gothic"/>
        </w:rPr>
      </w:pPr>
      <w:r>
        <w:rPr>
          <w:rFonts w:ascii="Century Gothic" w:hAnsi="Century Gothic"/>
          <w:b/>
          <w:bCs/>
        </w:rPr>
        <w:t>INVESTMENT GUIDELINES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b/>
          <w:bCs/>
        </w:rPr>
      </w:pPr>
      <w:r>
        <w:rPr>
          <w:rFonts w:ascii="Century Gothic" w:hAnsi="Century Gothic"/>
          <w:b/>
          <w:bCs/>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Board hopes to achieve its goal of reducing total portfolio volatility while enhancing total return through diversification of the equity asset class. Large cap core manager(s) may be retained as part of a multi-manager investment strategy.  For purposes of this CIP, core managers do not exhibit a style bias such as value or growth.   This allocation will be represented in the policy benchmark by the S&amp;P 500 Index.</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bCs/>
        </w:rPr>
      </w:pPr>
      <w:r>
        <w:rPr>
          <w:rFonts w:ascii="Century Gothic" w:hAnsi="Century Gothic"/>
          <w:b/>
          <w:bCs/>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portfolio is expected to be fully invested at all times.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bCs/>
        </w:rPr>
      </w:pPr>
      <w:r>
        <w:rPr>
          <w:rFonts w:ascii="Century Gothic" w:hAnsi="Century Gothic"/>
          <w:b/>
          <w:bCs/>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41"/>
        </w:numPr>
        <w:tabs>
          <w:tab w:val="clear" w:pos="360"/>
          <w:tab w:val="num" w:pos="720"/>
        </w:tabs>
        <w:ind w:left="720" w:hanging="720"/>
        <w:jc w:val="both"/>
        <w:rPr>
          <w:rFonts w:ascii="Century Gothic" w:hAnsi="Century Gothic"/>
        </w:rPr>
      </w:pPr>
      <w:r>
        <w:rPr>
          <w:rFonts w:ascii="Century Gothic" w:hAnsi="Century Gothic"/>
        </w:rPr>
        <w:t xml:space="preserve">The Manager shall be permitted to invest in any securities which are a part of the S&amp;P 500 without regard for the constraint within this policy prohibiting or restricting the ownership of companies with less than a 3 year publicly available operating history.  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under this Part V and the reporting requirements imposed on Managers.  </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41"/>
        </w:numPr>
        <w:tabs>
          <w:tab w:val="clear" w:pos="360"/>
          <w:tab w:val="num" w:pos="720"/>
        </w:tabs>
        <w:ind w:left="720" w:hanging="720"/>
        <w:jc w:val="both"/>
        <w:rPr>
          <w:rFonts w:ascii="Century Gothic" w:hAnsi="Century Gothic"/>
        </w:rPr>
      </w:pPr>
      <w:r>
        <w:rPr>
          <w:rFonts w:ascii="Century Gothic" w:hAnsi="Century Gothic"/>
        </w:rPr>
        <w:t>The Manager shall be permitted to invest in any securities which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974902" w:rsidRDefault="00974902">
      <w:pPr>
        <w:pStyle w:val="PlainText"/>
        <w:ind w:left="720" w:hanging="720"/>
        <w:jc w:val="both"/>
        <w:rPr>
          <w:rFonts w:ascii="Century Gothic" w:hAnsi="Century Gothic"/>
        </w:rPr>
      </w:pPr>
    </w:p>
    <w:p w:rsidR="00974902" w:rsidRDefault="00AF24A7">
      <w:pPr>
        <w:pStyle w:val="PlainText"/>
        <w:numPr>
          <w:ilvl w:val="0"/>
          <w:numId w:val="41"/>
        </w:numPr>
        <w:tabs>
          <w:tab w:val="clear" w:pos="360"/>
          <w:tab w:val="num" w:pos="720"/>
        </w:tabs>
        <w:ind w:left="720" w:hanging="720"/>
        <w:jc w:val="both"/>
        <w:rPr>
          <w:rFonts w:ascii="Century Gothic" w:hAnsi="Century Gothic"/>
        </w:rPr>
      </w:pPr>
      <w:r>
        <w:rPr>
          <w:rFonts w:ascii="Century Gothic" w:hAnsi="Century Gothic"/>
        </w:rPr>
        <w:t>The use of futures as a substitute for physical investing, or to facilitate cash flows shall be permitted for this portfolio, provided the manager receives prior written approval from the Board. In order to obtain such approval, the manager must submit a written request to the Board, quantifying the net advantages that will accrue to the portfolio.</w:t>
      </w:r>
    </w:p>
    <w:p w:rsidR="00974902" w:rsidRDefault="00974902">
      <w:pPr>
        <w:pStyle w:val="ListParagraph"/>
        <w:rPr>
          <w:rFonts w:ascii="Century Gothic" w:hAnsi="Century Gothic"/>
          <w:sz w:val="20"/>
          <w:szCs w:val="20"/>
        </w:rPr>
      </w:pPr>
    </w:p>
    <w:p w:rsidR="00974902" w:rsidRDefault="00AF24A7">
      <w:pPr>
        <w:pStyle w:val="PlainText"/>
        <w:numPr>
          <w:ilvl w:val="0"/>
          <w:numId w:val="41"/>
        </w:numPr>
        <w:tabs>
          <w:tab w:val="clear" w:pos="360"/>
        </w:tabs>
        <w:ind w:left="720" w:hanging="720"/>
        <w:jc w:val="both"/>
        <w:rPr>
          <w:rFonts w:ascii="Century Gothic" w:hAnsi="Century Gothic"/>
        </w:rPr>
      </w:pPr>
      <w:r>
        <w:rPr>
          <w:rFonts w:ascii="Century Gothic" w:hAnsi="Century Gothic"/>
        </w:rPr>
        <w:t xml:space="preserve">The Manager may temporarily invest in companies outside of the index in the case of   additions or deletions, with the goal of minimizing tracking error and/or reducing trading costs. </w:t>
      </w:r>
    </w:p>
    <w:p w:rsidR="00974902" w:rsidRDefault="00974902">
      <w:pPr>
        <w:pStyle w:val="PlainText"/>
        <w:jc w:val="both"/>
        <w:rPr>
          <w:rFonts w:ascii="Century Gothic" w:hAnsi="Century Gothic"/>
          <w:bCs/>
        </w:rPr>
      </w:pPr>
    </w:p>
    <w:p w:rsidR="00974902" w:rsidRDefault="00AF24A7">
      <w:pPr>
        <w:pStyle w:val="PlainText"/>
        <w:jc w:val="both"/>
        <w:rPr>
          <w:rFonts w:ascii="Century Gothic" w:hAnsi="Century Gothic"/>
          <w:b/>
          <w:bCs/>
        </w:rPr>
      </w:pPr>
      <w:r>
        <w:rPr>
          <w:rFonts w:ascii="Century Gothic" w:hAnsi="Century Gothic"/>
          <w:b/>
          <w:bCs/>
        </w:rPr>
        <w:t>CASH AND SHORT TERM 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b/>
          <w:bCs/>
        </w:rPr>
      </w:pPr>
    </w:p>
    <w:p w:rsidR="00974902" w:rsidRDefault="00974902">
      <w:pPr>
        <w:pStyle w:val="PlainText"/>
        <w:jc w:val="both"/>
        <w:rPr>
          <w:rFonts w:ascii="Century Gothic" w:hAnsi="Century Gothic"/>
          <w:b/>
          <w:bCs/>
        </w:rPr>
      </w:pPr>
    </w:p>
    <w:p w:rsidR="00974902" w:rsidRDefault="00974902">
      <w:pPr>
        <w:pStyle w:val="PlainText"/>
        <w:jc w:val="both"/>
        <w:rPr>
          <w:rFonts w:ascii="Century Gothic" w:hAnsi="Century Gothic"/>
          <w:b/>
          <w:bCs/>
        </w:rPr>
      </w:pPr>
    </w:p>
    <w:p w:rsidR="00974902" w:rsidRDefault="00974902">
      <w:pPr>
        <w:pStyle w:val="PlainText"/>
        <w:jc w:val="both"/>
        <w:rPr>
          <w:rFonts w:ascii="Century Gothic" w:hAnsi="Century Gothic"/>
          <w:b/>
          <w:bCs/>
        </w:rPr>
      </w:pPr>
    </w:p>
    <w:p w:rsidR="00974902" w:rsidRDefault="00974902">
      <w:pPr>
        <w:pStyle w:val="PlainText"/>
        <w:jc w:val="both"/>
        <w:rPr>
          <w:rFonts w:ascii="Century Gothic" w:hAnsi="Century Gothic"/>
          <w:b/>
          <w:bCs/>
        </w:rPr>
      </w:pPr>
    </w:p>
    <w:p w:rsidR="00974902" w:rsidRDefault="00AF24A7">
      <w:pPr>
        <w:pStyle w:val="PlainText"/>
        <w:jc w:val="both"/>
        <w:rPr>
          <w:rFonts w:ascii="Century Gothic" w:hAnsi="Century Gothic"/>
          <w:b/>
          <w:bCs/>
        </w:rPr>
      </w:pPr>
      <w:r>
        <w:rPr>
          <w:rFonts w:ascii="Century Gothic" w:hAnsi="Century Gothic"/>
          <w:b/>
          <w:bCs/>
        </w:rPr>
        <w:lastRenderedPageBreak/>
        <w:t>RESTRICTED INVESTMENTS</w:t>
      </w:r>
    </w:p>
    <w:p w:rsidR="00974902" w:rsidRDefault="00974902">
      <w:pPr>
        <w:pStyle w:val="PlainText"/>
        <w:jc w:val="both"/>
        <w:rPr>
          <w:rFonts w:ascii="Century Gothic" w:hAnsi="Century Gothic"/>
        </w:rPr>
      </w:pPr>
    </w:p>
    <w:p w:rsidR="00974902" w:rsidRDefault="00AF24A7">
      <w:pPr>
        <w:pStyle w:val="PlainText"/>
        <w:tabs>
          <w:tab w:val="left" w:pos="720"/>
        </w:tabs>
        <w:jc w:val="both"/>
        <w:rPr>
          <w:rFonts w:ascii="Century Gothic" w:hAnsi="Century Gothic"/>
        </w:rPr>
      </w:pPr>
      <w:r>
        <w:rPr>
          <w:rFonts w:ascii="Century Gothic" w:hAnsi="Century Gothic"/>
        </w:rPr>
        <w:t>1.</w:t>
      </w:r>
      <w:r>
        <w:rPr>
          <w:rFonts w:ascii="Century Gothic" w:hAnsi="Century Gothic"/>
        </w:rPr>
        <w:tab/>
        <w:t>The use of futures will be permitted subject to the restrictions imposed by Paragraph 16</w:t>
      </w:r>
      <w:r>
        <w:rPr>
          <w:rFonts w:ascii="Century Gothic" w:hAnsi="Century Gothic"/>
        </w:rPr>
        <w:tab/>
        <w:t xml:space="preserve">(entitled “Derivatives”) in the “Authorized Investment Vehicles” section. </w:t>
      </w:r>
    </w:p>
    <w:p w:rsidR="00974902" w:rsidRDefault="00974902">
      <w:pPr>
        <w:pStyle w:val="PlainText"/>
        <w:tabs>
          <w:tab w:val="left" w:pos="720"/>
        </w:tabs>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2.</w:t>
      </w:r>
      <w:r>
        <w:rPr>
          <w:rFonts w:ascii="Century Gothic" w:hAnsi="Century Gothic"/>
        </w:rPr>
        <w:tab/>
        <w:t>Use of margin is prohibited except as may be required in the use of futures.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3.</w:t>
      </w:r>
      <w:r>
        <w:rPr>
          <w:rFonts w:ascii="Century Gothic" w:hAnsi="Century Gothic"/>
        </w:rPr>
        <w:tab/>
        <w:t>Convertible securities shall not be allowed for investment purposes.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S&amp;P 500 Index, over any three or more year period of time, taking into consideration the following:</w:t>
      </w:r>
    </w:p>
    <w:p w:rsidR="00974902" w:rsidRDefault="00974902">
      <w:pPr>
        <w:pStyle w:val="PlainText"/>
        <w:jc w:val="both"/>
        <w:rPr>
          <w:rFonts w:ascii="Century Gothic" w:hAnsi="Century Gothic"/>
          <w:u w:val="single"/>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S&amp;P 500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S&amp;P 500 Index is expected to rank below the highest quartile of managers in the Large Cap Value peer group over rolling three year time periods.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S &amp; P 500, over any three to five year period,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70"/>
        </w:numPr>
        <w:jc w:val="both"/>
        <w:rPr>
          <w:rFonts w:ascii="Century Gothic" w:hAnsi="Century Gothic"/>
        </w:rPr>
      </w:pPr>
      <w:r>
        <w:rPr>
          <w:rFonts w:ascii="Century Gothic" w:hAnsi="Century Gothic"/>
        </w:rPr>
        <w:t>The manager’s performance is expected to meet the S&amp;P 500 Index.</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70"/>
        </w:numPr>
        <w:jc w:val="both"/>
        <w:rPr>
          <w:rFonts w:ascii="Century Gothic" w:hAnsi="Century Gothic"/>
        </w:rPr>
      </w:pPr>
      <w:r>
        <w:rPr>
          <w:rFonts w:ascii="Century Gothic" w:hAnsi="Century Gothic"/>
        </w:rPr>
        <w:t>The beta of the portfolio over any three-year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70"/>
        </w:numPr>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974902" w:rsidRDefault="00974902">
      <w:pPr>
        <w:pStyle w:val="PlainText"/>
        <w:jc w:val="both"/>
        <w:rPr>
          <w:rFonts w:ascii="Century Gothic" w:hAnsi="Century Gothic"/>
        </w:rPr>
      </w:pPr>
    </w:p>
    <w:p w:rsidR="00974902" w:rsidRDefault="00AF24A7">
      <w:pPr>
        <w:rPr>
          <w:rFonts w:ascii="Century Gothic" w:hAnsi="Century Gothic"/>
          <w:b/>
          <w:sz w:val="20"/>
          <w:szCs w:val="20"/>
        </w:rPr>
      </w:pPr>
      <w:r>
        <w:rPr>
          <w:rFonts w:ascii="Century Gothic" w:hAnsi="Century Gothic"/>
          <w:b/>
          <w:sz w:val="20"/>
          <w:szCs w:val="20"/>
        </w:rPr>
        <w:br w:type="page"/>
      </w:r>
    </w:p>
    <w:p w:rsidR="00974902" w:rsidRDefault="00AF24A7">
      <w:pPr>
        <w:pStyle w:val="PlainText"/>
        <w:jc w:val="center"/>
        <w:rPr>
          <w:rFonts w:ascii="Century Gothic" w:hAnsi="Century Gothic"/>
          <w:b/>
        </w:rPr>
      </w:pPr>
      <w:r>
        <w:rPr>
          <w:rFonts w:ascii="Century Gothic" w:hAnsi="Century Gothic"/>
          <w:b/>
        </w:rPr>
        <w:lastRenderedPageBreak/>
        <w:t>PART VI</w:t>
      </w:r>
    </w:p>
    <w:p w:rsidR="00974902" w:rsidRDefault="00AF24A7">
      <w:pPr>
        <w:pStyle w:val="PlainText"/>
        <w:jc w:val="center"/>
        <w:rPr>
          <w:rFonts w:ascii="Century Gothic" w:hAnsi="Century Gothic"/>
          <w:b/>
        </w:rPr>
      </w:pPr>
      <w:r>
        <w:rPr>
          <w:rFonts w:ascii="Century Gothic" w:hAnsi="Century Gothic"/>
          <w:b/>
        </w:rPr>
        <w:t>MID CAP EQUITY</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hopes to achieve its goal of reducing total portfolio volatility while enhancing total return through diversification of the equity asset class using multiple styles of management.  Mid cap equity manager(s) will be retained as part of a multi-manager investment strategy.  For purposes of this CIP, this style seeks access to the mid-cap segment of the US equity universe.  This allocation will be represented in the policy benchmark by the S&amp;P MidCap 400 Index which represents the performance of mid-sized companies.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only five percent.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49"/>
        </w:numPr>
        <w:tabs>
          <w:tab w:val="num" w:pos="810"/>
        </w:tabs>
        <w:ind w:left="720"/>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49"/>
        </w:numPr>
        <w:tabs>
          <w:tab w:val="num" w:pos="810"/>
        </w:tabs>
        <w:ind w:left="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S&amp;P MidCap 400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3.</w:t>
      </w:r>
      <w:r>
        <w:rPr>
          <w:rFonts w:ascii="Century Gothic" w:hAnsi="Century Gothic"/>
        </w:rPr>
        <w:tab/>
        <w:t xml:space="preserve">Equity investments shall be made only in securities listed on a United States stock exchange or traded on NASDAQ in the United States or in other, recognized domestic markets.  </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48"/>
        </w:numPr>
        <w:tabs>
          <w:tab w:val="num" w:pos="720"/>
        </w:tabs>
        <w:ind w:left="720"/>
        <w:jc w:val="both"/>
        <w:rPr>
          <w:rFonts w:ascii="Century Gothic" w:hAnsi="Century Gothic"/>
        </w:rPr>
      </w:pPr>
      <w:r>
        <w:rPr>
          <w:rFonts w:ascii="Century Gothic" w:hAnsi="Century Gothic"/>
        </w:rPr>
        <w:t>Use of margin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48"/>
        </w:numPr>
        <w:tabs>
          <w:tab w:val="num" w:pos="720"/>
        </w:tabs>
        <w:ind w:left="720"/>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48"/>
        </w:numPr>
        <w:tabs>
          <w:tab w:val="num" w:pos="720"/>
        </w:tabs>
        <w:ind w:left="72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lastRenderedPageBreak/>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Active Managers</w:t>
      </w:r>
    </w:p>
    <w:p w:rsidR="00974902" w:rsidRDefault="00AF24A7">
      <w:pPr>
        <w:pStyle w:val="PlainText"/>
        <w:jc w:val="both"/>
        <w:rPr>
          <w:rFonts w:ascii="Century Gothic" w:hAnsi="Century Gothic"/>
        </w:rPr>
      </w:pPr>
      <w:r>
        <w:rPr>
          <w:rFonts w:ascii="Century Gothic" w:hAnsi="Century Gothic"/>
        </w:rPr>
        <w:t>Manager performance shall be reviewed relative to the S&amp;P MidCap 400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S&amp;P MidCap 400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S&amp;P MidCap 400 Index is expected to rank below the highest quartile of managers in the MidCap Broad peer group over rolling three year time periods.</w:t>
      </w:r>
    </w:p>
    <w:p w:rsidR="00974902" w:rsidRDefault="00974902">
      <w:pPr>
        <w:pStyle w:val="PlainText"/>
        <w:ind w:left="360"/>
        <w:jc w:val="both"/>
        <w:rPr>
          <w:rFonts w:ascii="Century Gothic" w:hAnsi="Century Gothic"/>
        </w:rPr>
      </w:pPr>
    </w:p>
    <w:p w:rsidR="00974902" w:rsidRDefault="00AF24A7">
      <w:pPr>
        <w:rPr>
          <w:rFonts w:ascii="Century Gothic" w:hAnsi="Century Gothic"/>
          <w:sz w:val="20"/>
          <w:szCs w:val="20"/>
        </w:rPr>
      </w:pPr>
      <w:r>
        <w:rPr>
          <w:rFonts w:ascii="Century Gothic" w:hAnsi="Century Gothic"/>
          <w:sz w:val="20"/>
          <w:szCs w:val="20"/>
        </w:rPr>
        <w:t>Passive Managers</w:t>
      </w: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S&amp;P 400 Index, or other agreed-upon investible benchmark representing the mid cap U.S. equity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AF24A7">
      <w:pPr>
        <w:rPr>
          <w:rFonts w:ascii="Century Gothic" w:hAnsi="Century Gothic"/>
          <w:b/>
          <w:sz w:val="20"/>
          <w:szCs w:val="20"/>
        </w:rPr>
      </w:pPr>
      <w:r>
        <w:rPr>
          <w:rFonts w:ascii="Century Gothic" w:hAnsi="Century Gothic"/>
          <w:b/>
          <w:sz w:val="20"/>
          <w:szCs w:val="20"/>
        </w:rPr>
        <w:br w:type="page"/>
      </w:r>
    </w:p>
    <w:p w:rsidR="00974902" w:rsidRDefault="00AF24A7">
      <w:pPr>
        <w:pStyle w:val="PlainText"/>
        <w:jc w:val="center"/>
        <w:rPr>
          <w:rFonts w:ascii="Century Gothic" w:hAnsi="Century Gothic"/>
          <w:b/>
        </w:rPr>
      </w:pPr>
      <w:r>
        <w:rPr>
          <w:rFonts w:ascii="Century Gothic" w:hAnsi="Century Gothic"/>
          <w:b/>
        </w:rPr>
        <w:lastRenderedPageBreak/>
        <w:t>PART VII</w:t>
      </w:r>
    </w:p>
    <w:p w:rsidR="00974902" w:rsidRDefault="00AF24A7">
      <w:pPr>
        <w:pStyle w:val="PlainText"/>
        <w:jc w:val="center"/>
        <w:rPr>
          <w:rFonts w:ascii="Century Gothic" w:hAnsi="Century Gothic"/>
          <w:b/>
        </w:rPr>
      </w:pPr>
      <w:r>
        <w:rPr>
          <w:rFonts w:ascii="Century Gothic" w:hAnsi="Century Gothic"/>
          <w:b/>
        </w:rPr>
        <w:t>SMALL CAP EQUITY</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hopes to achieve its goal of reducing total portfolio volatility while enhancing total return through diversification of the equity asset class using multiple styles of management.  Small cap equity manager(s) will be retained as part of a multi-manager investment strategy.  For purposes of this CIP, this style seeks access to the small-cap segment of the US equity universe. This allocation will be represented in the policy benchmark by the Russell 2000 Index which includes the smallest 2000 securities in the Russell 3000 index.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only ten percent.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52"/>
        </w:numPr>
        <w:ind w:hanging="720"/>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974902" w:rsidRDefault="00974902">
      <w:pPr>
        <w:pStyle w:val="PlainText"/>
        <w:ind w:left="720"/>
        <w:jc w:val="both"/>
        <w:rPr>
          <w:rFonts w:ascii="Century Gothic" w:hAnsi="Century Gothic"/>
        </w:rPr>
      </w:pPr>
    </w:p>
    <w:p w:rsidR="00974902" w:rsidRDefault="00AF24A7">
      <w:pPr>
        <w:pStyle w:val="PlainText"/>
        <w:numPr>
          <w:ilvl w:val="0"/>
          <w:numId w:val="52"/>
        </w:numPr>
        <w:ind w:hanging="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3.</w:t>
      </w:r>
      <w:r>
        <w:rPr>
          <w:rFonts w:ascii="Century Gothic" w:hAnsi="Century Gothic"/>
        </w:rPr>
        <w:tab/>
        <w:t xml:space="preserve">Equity investments shall be made only in securities listed on a United States stock exchange or traded on NASDAQ in the United States or in other, recognized domestic markets.  </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53"/>
        </w:numPr>
        <w:ind w:left="360"/>
        <w:jc w:val="both"/>
        <w:rPr>
          <w:rFonts w:ascii="Century Gothic" w:hAnsi="Century Gothic"/>
        </w:rPr>
      </w:pPr>
      <w:r>
        <w:rPr>
          <w:rFonts w:ascii="Century Gothic" w:hAnsi="Century Gothic"/>
        </w:rPr>
        <w:t>Use of margin is prohibited.</w:t>
      </w:r>
    </w:p>
    <w:p w:rsidR="00974902" w:rsidRDefault="00974902">
      <w:pPr>
        <w:pStyle w:val="PlainText"/>
        <w:tabs>
          <w:tab w:val="num" w:pos="720"/>
        </w:tabs>
        <w:ind w:left="360" w:hanging="360"/>
        <w:jc w:val="both"/>
        <w:rPr>
          <w:rFonts w:ascii="Century Gothic" w:hAnsi="Century Gothic"/>
        </w:rPr>
      </w:pPr>
    </w:p>
    <w:p w:rsidR="00974902" w:rsidRDefault="00AF24A7">
      <w:pPr>
        <w:pStyle w:val="PlainText"/>
        <w:numPr>
          <w:ilvl w:val="0"/>
          <w:numId w:val="53"/>
        </w:numPr>
        <w:ind w:left="360"/>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tabs>
          <w:tab w:val="num" w:pos="720"/>
        </w:tabs>
        <w:ind w:left="360" w:hanging="360"/>
        <w:jc w:val="both"/>
        <w:rPr>
          <w:rFonts w:ascii="Century Gothic" w:hAnsi="Century Gothic"/>
        </w:rPr>
      </w:pPr>
    </w:p>
    <w:p w:rsidR="00974902" w:rsidRDefault="00AF24A7">
      <w:pPr>
        <w:pStyle w:val="PlainText"/>
        <w:numPr>
          <w:ilvl w:val="0"/>
          <w:numId w:val="53"/>
        </w:numPr>
        <w:ind w:left="36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tabs>
          <w:tab w:val="num" w:pos="720"/>
        </w:tabs>
        <w:ind w:left="360" w:hanging="360"/>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2000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2000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2000 Index is expected to rank below the highest quartile of managers in the Small Cap peer group over rolling three year time periods.</w:t>
      </w:r>
    </w:p>
    <w:p w:rsidR="00974902" w:rsidRDefault="00974902">
      <w:pPr>
        <w:pStyle w:val="PlainText"/>
        <w:ind w:left="360"/>
        <w:jc w:val="both"/>
        <w:rPr>
          <w:rFonts w:ascii="Century Gothic" w:hAnsi="Century Gothic"/>
        </w:rPr>
      </w:pPr>
    </w:p>
    <w:p w:rsidR="00974902" w:rsidRDefault="00AF24A7">
      <w:pPr>
        <w:rPr>
          <w:rFonts w:ascii="Century Gothic" w:hAnsi="Century Gothic"/>
          <w:sz w:val="20"/>
          <w:szCs w:val="20"/>
          <w:u w:val="single"/>
        </w:rPr>
      </w:pPr>
      <w:r>
        <w:rPr>
          <w:rFonts w:ascii="Century Gothic" w:hAnsi="Century Gothic"/>
          <w:sz w:val="20"/>
          <w:szCs w:val="20"/>
          <w:u w:val="single"/>
        </w:rPr>
        <w:t>Passive Managers</w:t>
      </w: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Russell 2000 Index, or other agreed-upon investible benchmark representing the small cap U.S. equity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AF24A7">
      <w:pPr>
        <w:rPr>
          <w:rFonts w:ascii="Century Gothic" w:hAnsi="Century Gothic"/>
          <w:sz w:val="20"/>
          <w:szCs w:val="20"/>
        </w:rPr>
      </w:pPr>
      <w:r>
        <w:rPr>
          <w:rFonts w:ascii="Century Gothic" w:hAnsi="Century Gothic"/>
          <w:sz w:val="20"/>
          <w:szCs w:val="20"/>
        </w:rPr>
        <w:br w:type="page"/>
      </w:r>
    </w:p>
    <w:p w:rsidR="00974902" w:rsidRDefault="00AF24A7">
      <w:pPr>
        <w:pStyle w:val="PlainText"/>
        <w:jc w:val="center"/>
        <w:rPr>
          <w:rFonts w:ascii="Century Gothic" w:hAnsi="Century Gothic"/>
          <w:b/>
        </w:rPr>
      </w:pPr>
      <w:r>
        <w:rPr>
          <w:rFonts w:ascii="Century Gothic" w:hAnsi="Century Gothic"/>
          <w:b/>
        </w:rPr>
        <w:lastRenderedPageBreak/>
        <w:t>PART VIII</w:t>
      </w:r>
    </w:p>
    <w:p w:rsidR="00974902" w:rsidRDefault="00AF24A7">
      <w:pPr>
        <w:pStyle w:val="PlainText"/>
        <w:jc w:val="center"/>
        <w:rPr>
          <w:rFonts w:ascii="Century Gothic" w:hAnsi="Century Gothic"/>
          <w:b/>
        </w:rPr>
      </w:pPr>
      <w:r>
        <w:rPr>
          <w:rFonts w:ascii="Century Gothic" w:hAnsi="Century Gothic"/>
          <w:b/>
        </w:rPr>
        <w:t>INTERNATIONAL EQUITY</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hopes to achieve its goal of reducing total portfolio volatility while enhancing total return through diversification of the equity asset class using multiple styles of management.  International equity manager(s) will be retained as part of a multi-manager investment strategy.  For purposes of this CIP, this strategy seeks access to companies that are domiciled outside of the US equity market.  This allocation will be represented in the policy benchmark by the MSCI EAFE (i.e., Europe, Australasia, Far East) Index which is designed to measure the equity market performance of developed markets, excluding the US and Canada.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only five percent.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EQUITY INVESTMENT GUIDELINES</w:t>
      </w:r>
    </w:p>
    <w:p w:rsidR="00974902" w:rsidRDefault="00974902">
      <w:pPr>
        <w:pStyle w:val="PlainText"/>
        <w:jc w:val="both"/>
        <w:rPr>
          <w:rFonts w:ascii="Century Gothic" w:hAnsi="Century Gothic"/>
        </w:rPr>
      </w:pPr>
    </w:p>
    <w:p w:rsidR="00974902" w:rsidRDefault="00AF24A7">
      <w:pPr>
        <w:pStyle w:val="PlainText"/>
        <w:numPr>
          <w:ilvl w:val="0"/>
          <w:numId w:val="50"/>
        </w:numPr>
        <w:ind w:left="734"/>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50"/>
        </w:numPr>
        <w:ind w:left="734"/>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974902">
      <w:pPr>
        <w:pStyle w:val="PlainText"/>
        <w:ind w:left="734"/>
        <w:jc w:val="both"/>
        <w:rPr>
          <w:rFonts w:ascii="Century Gothic" w:hAnsi="Century Gothic"/>
        </w:rPr>
      </w:pP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51"/>
        </w:numPr>
        <w:jc w:val="both"/>
        <w:rPr>
          <w:rFonts w:ascii="Century Gothic" w:hAnsi="Century Gothic"/>
        </w:rPr>
      </w:pPr>
      <w:r>
        <w:rPr>
          <w:rFonts w:ascii="Century Gothic" w:hAnsi="Century Gothic"/>
        </w:rPr>
        <w:t>The use of currency futures and currency forwards will be permitted subject to the restrictions imposed by Paragraph 16 (entitled “Derivatives”) in the “Authorized Investment Vehicles” section.</w:t>
      </w:r>
    </w:p>
    <w:p w:rsidR="00974902" w:rsidRDefault="00974902">
      <w:pPr>
        <w:pStyle w:val="PlainText"/>
        <w:jc w:val="both"/>
        <w:rPr>
          <w:rFonts w:ascii="Century Gothic" w:hAnsi="Century Gothic"/>
        </w:rPr>
      </w:pPr>
    </w:p>
    <w:p w:rsidR="00974902" w:rsidRDefault="00AF24A7">
      <w:pPr>
        <w:pStyle w:val="PlainText"/>
        <w:numPr>
          <w:ilvl w:val="0"/>
          <w:numId w:val="51"/>
        </w:numPr>
        <w:jc w:val="both"/>
        <w:rPr>
          <w:rFonts w:ascii="Century Gothic" w:hAnsi="Century Gothic"/>
        </w:rPr>
      </w:pPr>
      <w:r>
        <w:rPr>
          <w:rFonts w:ascii="Century Gothic" w:hAnsi="Century Gothic"/>
        </w:rPr>
        <w:t>Use of options, futures, forwards or any other types of derivative securities that are not used for currency hedging purposes are prohibited.</w:t>
      </w:r>
    </w:p>
    <w:p w:rsidR="00974902" w:rsidRDefault="00974902">
      <w:pPr>
        <w:pStyle w:val="PlainText"/>
        <w:jc w:val="both"/>
        <w:rPr>
          <w:rFonts w:ascii="Century Gothic" w:hAnsi="Century Gothic"/>
        </w:rPr>
      </w:pPr>
    </w:p>
    <w:p w:rsidR="00974902" w:rsidRDefault="00AF24A7">
      <w:pPr>
        <w:pStyle w:val="PlainText"/>
        <w:numPr>
          <w:ilvl w:val="0"/>
          <w:numId w:val="51"/>
        </w:numPr>
        <w:jc w:val="both"/>
        <w:rPr>
          <w:rFonts w:ascii="Century Gothic" w:hAnsi="Century Gothic"/>
        </w:rPr>
      </w:pPr>
      <w:r>
        <w:rPr>
          <w:rFonts w:ascii="Century Gothic" w:hAnsi="Century Gothic"/>
        </w:rPr>
        <w:t>Use of margin is prohibited except as may be required in the use of currency futures or forwards.</w:t>
      </w:r>
    </w:p>
    <w:p w:rsidR="00974902" w:rsidRDefault="00974902">
      <w:pPr>
        <w:pStyle w:val="ListParagraph"/>
        <w:rPr>
          <w:rFonts w:ascii="Century Gothic" w:hAnsi="Century Gothic"/>
          <w:sz w:val="20"/>
          <w:szCs w:val="20"/>
        </w:rPr>
      </w:pPr>
    </w:p>
    <w:p w:rsidR="00974902" w:rsidRDefault="00AF24A7">
      <w:pPr>
        <w:pStyle w:val="PlainText"/>
        <w:numPr>
          <w:ilvl w:val="0"/>
          <w:numId w:val="51"/>
        </w:numPr>
        <w:jc w:val="both"/>
        <w:rPr>
          <w:rFonts w:ascii="Century Gothic" w:hAnsi="Century Gothic"/>
        </w:rPr>
      </w:pPr>
      <w:r>
        <w:rPr>
          <w:rFonts w:ascii="Century Gothic" w:hAnsi="Century Gothic"/>
        </w:rPr>
        <w:t>Securities not domiciled, incorporated, or traded in a benchmark country.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MSCI EAFE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MSCI EAFE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MSCI EAFE Index is expected to rank below the highest quartile of managers in the International Equity peer group over rolling three year time periods.</w:t>
      </w:r>
    </w:p>
    <w:p w:rsidR="00974902" w:rsidRDefault="00974902">
      <w:pPr>
        <w:pStyle w:val="PlainText"/>
        <w:ind w:left="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rPr>
      </w:pPr>
    </w:p>
    <w:p w:rsidR="00974902" w:rsidRDefault="00AF24A7">
      <w:pPr>
        <w:pStyle w:val="PlainText"/>
        <w:numPr>
          <w:ilvl w:val="0"/>
          <w:numId w:val="68"/>
        </w:numPr>
        <w:ind w:left="360"/>
        <w:jc w:val="both"/>
        <w:rPr>
          <w:rFonts w:ascii="Century Gothic" w:hAnsi="Century Gothic"/>
        </w:rPr>
      </w:pPr>
      <w:r>
        <w:rPr>
          <w:rFonts w:ascii="Century Gothic" w:hAnsi="Century Gothic"/>
        </w:rPr>
        <w:t>A passive manager’s performance is expected to meet the MSCI EAFE Index, or other agreed-upon investible benchmark representing the broad developed international equity markets.</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relative to the index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974902" w:rsidRDefault="00974902">
      <w:pPr>
        <w:pStyle w:val="PlainText"/>
        <w:jc w:val="both"/>
        <w:rPr>
          <w:rFonts w:ascii="Times New Roman" w:hAnsi="Times New Roman"/>
          <w:sz w:val="24"/>
        </w:rPr>
      </w:pPr>
    </w:p>
    <w:p w:rsidR="00974902" w:rsidRDefault="00974902">
      <w:pPr>
        <w:pStyle w:val="BAS-Heading1"/>
        <w:numPr>
          <w:ilvl w:val="0"/>
          <w:numId w:val="0"/>
        </w:numPr>
        <w:ind w:left="792" w:hanging="792"/>
      </w:pPr>
      <w:bookmarkStart w:id="90" w:name="_Toc424131349"/>
      <w:bookmarkStart w:id="91" w:name="_Toc424131408"/>
    </w:p>
    <w:p w:rsidR="00974902" w:rsidRDefault="00974902">
      <w:pPr>
        <w:pStyle w:val="BAS-Heading1"/>
        <w:numPr>
          <w:ilvl w:val="0"/>
          <w:numId w:val="0"/>
        </w:numPr>
        <w:ind w:left="792" w:hanging="792"/>
      </w:pPr>
    </w:p>
    <w:p w:rsidR="00974902" w:rsidRDefault="00974902">
      <w:pPr>
        <w:pStyle w:val="BAS-Heading1"/>
        <w:numPr>
          <w:ilvl w:val="0"/>
          <w:numId w:val="0"/>
        </w:numPr>
        <w:sectPr w:rsidR="00974902">
          <w:footerReference w:type="default" r:id="rId18"/>
          <w:footerReference w:type="first" r:id="rId19"/>
          <w:pgSz w:w="12240" w:h="15840"/>
          <w:pgMar w:top="1080" w:right="1080" w:bottom="1080" w:left="1080" w:header="720" w:footer="720" w:gutter="0"/>
          <w:pgNumType w:start="0"/>
          <w:cols w:space="720"/>
          <w:titlePg/>
          <w:docGrid w:linePitch="360"/>
        </w:sectPr>
      </w:pPr>
    </w:p>
    <w:p w:rsidR="00974902" w:rsidRDefault="00AF24A7">
      <w:pPr>
        <w:pStyle w:val="BAS-Heading1"/>
        <w:numPr>
          <w:ilvl w:val="0"/>
          <w:numId w:val="0"/>
        </w:numPr>
        <w:ind w:left="792" w:hanging="792"/>
      </w:pPr>
      <w:bookmarkStart w:id="92" w:name="_Toc481766563"/>
      <w:r>
        <w:lastRenderedPageBreak/>
        <w:t>APPENDIX B</w:t>
      </w:r>
      <w:r>
        <w:tab/>
      </w:r>
      <w:r w:rsidR="00844A23">
        <w:t xml:space="preserve">DRAFT </w:t>
      </w:r>
      <w:r>
        <w:t>Comprehensive investment plan Florida College Savings plan</w:t>
      </w:r>
      <w:bookmarkEnd w:id="92"/>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sectPr w:rsidR="00974902">
          <w:footerReference w:type="first" r:id="rId20"/>
          <w:pgSz w:w="12240" w:h="15840"/>
          <w:pgMar w:top="1080" w:right="1080" w:bottom="1080" w:left="1080" w:header="720" w:footer="720" w:gutter="0"/>
          <w:pgNumType w:start="0"/>
          <w:cols w:space="720"/>
          <w:titlePg/>
          <w:docGrid w:linePitch="360"/>
        </w:sectPr>
      </w:pPr>
    </w:p>
    <w:p w:rsidR="00974902" w:rsidRDefault="00AF24A7">
      <w:pPr>
        <w:pStyle w:val="PlainText"/>
        <w:jc w:val="center"/>
        <w:rPr>
          <w:rFonts w:ascii="Century Gothic" w:hAnsi="Century Gothic"/>
          <w:b/>
        </w:rPr>
      </w:pPr>
      <w:r>
        <w:rPr>
          <w:rFonts w:ascii="Century Gothic" w:hAnsi="Century Gothic"/>
          <w:b/>
        </w:rPr>
        <w:lastRenderedPageBreak/>
        <w:t>DRAFT</w:t>
      </w:r>
    </w:p>
    <w:p w:rsidR="00974902" w:rsidRDefault="00AF24A7">
      <w:pPr>
        <w:pStyle w:val="PlainText"/>
        <w:jc w:val="center"/>
        <w:rPr>
          <w:rFonts w:ascii="Century Gothic" w:hAnsi="Century Gothic"/>
          <w:b/>
        </w:rPr>
      </w:pPr>
      <w:r>
        <w:rPr>
          <w:rFonts w:ascii="Century Gothic" w:hAnsi="Century Gothic"/>
          <w:b/>
        </w:rPr>
        <w:t>Florida Prepaid College Board</w:t>
      </w:r>
    </w:p>
    <w:p w:rsidR="00974902" w:rsidRDefault="00AF24A7">
      <w:pPr>
        <w:pStyle w:val="PlainText"/>
        <w:jc w:val="center"/>
        <w:rPr>
          <w:rFonts w:ascii="Century Gothic" w:hAnsi="Century Gothic"/>
          <w:b/>
        </w:rPr>
      </w:pPr>
      <w:r>
        <w:rPr>
          <w:rFonts w:ascii="Century Gothic" w:hAnsi="Century Gothic"/>
          <w:b/>
        </w:rPr>
        <w:t>Comprehensive Investment Plan</w:t>
      </w:r>
    </w:p>
    <w:p w:rsidR="00974902" w:rsidRDefault="00AF24A7">
      <w:pPr>
        <w:pStyle w:val="PlainText"/>
        <w:jc w:val="center"/>
        <w:rPr>
          <w:rFonts w:ascii="Century Gothic" w:hAnsi="Century Gothic"/>
          <w:i/>
        </w:rPr>
      </w:pPr>
      <w:r>
        <w:rPr>
          <w:rFonts w:ascii="Century Gothic" w:hAnsi="Century Gothic"/>
          <w:i/>
        </w:rPr>
        <w:t>for the</w:t>
      </w:r>
    </w:p>
    <w:p w:rsidR="00974902" w:rsidRDefault="00AF24A7">
      <w:pPr>
        <w:pStyle w:val="PlainText"/>
        <w:jc w:val="center"/>
        <w:rPr>
          <w:rFonts w:ascii="Century Gothic" w:hAnsi="Century Gothic"/>
          <w:b/>
        </w:rPr>
      </w:pPr>
      <w:r>
        <w:rPr>
          <w:rFonts w:ascii="Century Gothic" w:hAnsi="Century Gothic"/>
          <w:b/>
        </w:rPr>
        <w:t>Florida College Savings Program</w:t>
      </w:r>
    </w:p>
    <w:p w:rsidR="00974902" w:rsidRDefault="00AF24A7">
      <w:pPr>
        <w:pStyle w:val="PlainText"/>
        <w:jc w:val="center"/>
        <w:rPr>
          <w:rFonts w:ascii="Century Gothic" w:hAnsi="Century Gothic"/>
          <w:b/>
        </w:rPr>
      </w:pPr>
      <w:r>
        <w:rPr>
          <w:rFonts w:ascii="Century Gothic" w:hAnsi="Century Gothic"/>
          <w:b/>
        </w:rPr>
        <w:t>March 30, 2017</w:t>
      </w:r>
    </w:p>
    <w:p w:rsidR="00974902" w:rsidRDefault="00974902">
      <w:pPr>
        <w:pStyle w:val="PlainText"/>
        <w:jc w:val="center"/>
        <w:rPr>
          <w:rFonts w:ascii="Century Gothic" w:hAnsi="Century Gothic"/>
          <w:strike/>
        </w:rPr>
      </w:pP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AUTHORITY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All investments made under this plan are made under the authority granted the Florida Prepaid College Board (“Board”) under 1009.973, Florida Statutes.  All funds managed by the Board are funds of the State of Florida.</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PURPOSE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Florida College Savings Program (“Savings Program” or “Program”) is a program created to provide a medium through which families and individuals may save for qualified educational expenses. The Savings Program is intended to be an alternative to the Prepaid Program, though participants in the Savings Program do have the option to enroll a qualified beneficiary in the Savings Program, the Prepaid Program, or both. The Program is administered by the Florida Prepaid College Board which was created pursuant to Section 1009.981 of the Florida Statutes.</w:t>
      </w:r>
    </w:p>
    <w:p w:rsidR="00974902" w:rsidRDefault="00974902">
      <w:pPr>
        <w:pStyle w:val="PlainText"/>
        <w:tabs>
          <w:tab w:val="left" w:pos="4209"/>
        </w:tabs>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BOARD RESPONSIBILITIES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Board has the authority and the responsibility to control and manage the investment offerings under the Savings Program, and to formulate and oversee investment policies for that purpose.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Other specific responsibilities of the Board under this Comprehensive Investment Plan (“CIP”) include:</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rPr>
      </w:pPr>
      <w:r>
        <w:rPr>
          <w:rFonts w:ascii="Century Gothic" w:hAnsi="Century Gothic"/>
        </w:rPr>
        <w:t>Delegating specific administrative and operational responsibilities dealing with the investment of Program assets to the Executive Director or his/her staff.</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rPr>
      </w:pPr>
      <w:r>
        <w:rPr>
          <w:rFonts w:ascii="Century Gothic" w:hAnsi="Century Gothic"/>
        </w:rPr>
        <w:t>Establishing and periodically reviewing the appropriateness of the range of options offered to participants in the Program.</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rPr>
      </w:pPr>
      <w:r>
        <w:rPr>
          <w:rFonts w:ascii="Century Gothic" w:hAnsi="Century Gothic"/>
        </w:rPr>
        <w:t>Approving changes to this CIP.</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rPr>
      </w:pPr>
      <w:r>
        <w:rPr>
          <w:rFonts w:ascii="Century Gothic" w:hAnsi="Century Gothic"/>
        </w:rPr>
        <w:t>Monitoring compliance with this CIP.</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rPr>
      </w:pPr>
      <w:r>
        <w:rPr>
          <w:rFonts w:ascii="Century Gothic" w:hAnsi="Century Gothic"/>
        </w:rPr>
        <w:t>Appointing and terminating investment managers and other service providers to the Program.</w:t>
      </w:r>
    </w:p>
    <w:p w:rsidR="00974902" w:rsidRDefault="00974902">
      <w:pPr>
        <w:pStyle w:val="PlainText"/>
        <w:jc w:val="both"/>
        <w:rPr>
          <w:rFonts w:ascii="Century Gothic" w:hAnsi="Century Gothic"/>
        </w:rPr>
      </w:pPr>
    </w:p>
    <w:p w:rsidR="00974902" w:rsidRDefault="00AF24A7">
      <w:pPr>
        <w:pStyle w:val="PlainText"/>
        <w:numPr>
          <w:ilvl w:val="0"/>
          <w:numId w:val="61"/>
        </w:numPr>
        <w:jc w:val="both"/>
        <w:rPr>
          <w:rFonts w:ascii="Century Gothic" w:hAnsi="Century Gothic"/>
          <w:b/>
        </w:rPr>
      </w:pPr>
      <w:r>
        <w:rPr>
          <w:rFonts w:ascii="Century Gothic" w:hAnsi="Century Gothic"/>
        </w:rPr>
        <w:t>Reviewing periodically the performance of the investment managers.</w:t>
      </w:r>
    </w:p>
    <w:p w:rsidR="00974902" w:rsidRDefault="00974902">
      <w:pPr>
        <w:pStyle w:val="PlainText"/>
        <w:ind w:left="360"/>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 xml:space="preserve"> INVESTMENT OPTIONS</w:t>
      </w:r>
    </w:p>
    <w:p w:rsidR="00974902" w:rsidRDefault="00974902">
      <w:pPr>
        <w:pStyle w:val="PlainText"/>
        <w:jc w:val="both"/>
        <w:rPr>
          <w:rFonts w:ascii="Century Gothic" w:hAnsi="Century Gothic"/>
        </w:rPr>
      </w:pPr>
    </w:p>
    <w:p w:rsidR="00974902" w:rsidRDefault="00AF24A7">
      <w:pPr>
        <w:tabs>
          <w:tab w:val="left" w:pos="-720"/>
        </w:tabs>
        <w:jc w:val="both"/>
        <w:rPr>
          <w:rFonts w:ascii="Century Gothic" w:hAnsi="Century Gothic"/>
          <w:sz w:val="20"/>
          <w:szCs w:val="20"/>
        </w:rPr>
      </w:pPr>
      <w:r>
        <w:rPr>
          <w:rFonts w:ascii="Century Gothic" w:hAnsi="Century Gothic"/>
          <w:sz w:val="20"/>
          <w:szCs w:val="20"/>
        </w:rPr>
        <w:t xml:space="preserve">The number and range of investment options offered to Program participants will be reviewed by the Board at least annually. The decision to offer additional options will take into account the growth of the Program, industry trends, administrative feasibility, diversification and costs associated with adding options. Permitted investment vehicles for any of the investment options include, but are not limited to separately managed account, a pooled or commingled account, or a mutual fund. </w:t>
      </w:r>
    </w:p>
    <w:p w:rsidR="00974902" w:rsidRDefault="00AF24A7">
      <w:pPr>
        <w:rPr>
          <w:rFonts w:ascii="Century Gothic" w:hAnsi="Century Gothic"/>
          <w:sz w:val="20"/>
          <w:szCs w:val="20"/>
        </w:rPr>
      </w:pPr>
      <w:r>
        <w:rPr>
          <w:rFonts w:ascii="Century Gothic" w:hAnsi="Century Gothic"/>
          <w:sz w:val="20"/>
          <w:szCs w:val="20"/>
        </w:rPr>
        <w:br w:type="page"/>
      </w:r>
    </w:p>
    <w:p w:rsidR="00974902" w:rsidRDefault="00AF24A7">
      <w:pPr>
        <w:pStyle w:val="PlainText"/>
        <w:jc w:val="both"/>
        <w:rPr>
          <w:rFonts w:ascii="Century Gothic" w:hAnsi="Century Gothic"/>
        </w:rPr>
      </w:pPr>
      <w:r>
        <w:rPr>
          <w:rFonts w:ascii="Century Gothic" w:hAnsi="Century Gothic"/>
        </w:rPr>
        <w:lastRenderedPageBreak/>
        <w:t>The Board has elected to provide Program participants the following investment options:</w:t>
      </w:r>
    </w:p>
    <w:p w:rsidR="00974902" w:rsidRDefault="00974902">
      <w:pPr>
        <w:pStyle w:val="PlainText"/>
        <w:jc w:val="both"/>
        <w:rPr>
          <w:rFonts w:ascii="Century Gothic" w:hAnsi="Century Gothic"/>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1 – a large cap growth investment fund designed to provide exposure to large capitalization domestic growth stocks.</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2 – a large cap value investment fund designed to provide exposure to large capitalization domestic value stocks.</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3 – a large cap investment fund designed to provide exposure to large capitalization domestic stocks by tracking the returns of the S&amp;P 500 as closely as possible.</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4 – a mid cap investment fund designed to provide exposure to middle capitalization domestic stocks.</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5 – a small cap investment fund designed to provide exposure to small capitalization domestic stocks.</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6 – an international investment fund designed to provide exposure to international stocks in developed international markets.</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7 – a fixed income investment fund designed to mirror the broad domestic bond market.</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8 – a money market investment fund designed to provide exposure to very liquid short-term fixed income instruments.</w:t>
      </w:r>
    </w:p>
    <w:p w:rsidR="00974902" w:rsidRDefault="00974902">
      <w:pPr>
        <w:spacing w:after="0" w:line="240" w:lineRule="auto"/>
        <w:jc w:val="both"/>
        <w:rPr>
          <w:rFonts w:ascii="Century Gothic" w:hAnsi="Century Gothic"/>
          <w:sz w:val="20"/>
          <w:szCs w:val="20"/>
        </w:rPr>
      </w:pPr>
    </w:p>
    <w:p w:rsidR="00974902" w:rsidRDefault="00AF24A7">
      <w:pPr>
        <w:pStyle w:val="BodyText"/>
        <w:rPr>
          <w:rFonts w:ascii="Century Gothic" w:hAnsi="Century Gothic"/>
          <w:sz w:val="20"/>
        </w:rPr>
      </w:pPr>
      <w:r>
        <w:rPr>
          <w:rFonts w:ascii="Century Gothic" w:hAnsi="Century Gothic"/>
          <w:sz w:val="20"/>
        </w:rPr>
        <w:t>Option 9 – an equity investment fund with a twenty percent allocation to domestic large capitalization growth equity (Option 1), twenty percent to a domestic large capitalization value equity portfolio (Option 2), twenty percent to a U.S. large capitalization index portfolio (Option 3), ten percent to a domestic mid cap portfolio (Option 4), ten percent to a domestic small capitalization portfolio (Option 5) and twenty percent to an international equity portfolio (Option 6). Option 9 will be rebalanced to these target weights on a periodic basis, according to the parameters outlined in the rebalancing section of this CIP.</w:t>
      </w:r>
    </w:p>
    <w:p w:rsidR="00974902" w:rsidRDefault="00974902">
      <w:pPr>
        <w:spacing w:after="0" w:line="240" w:lineRule="auto"/>
        <w:jc w:val="both"/>
        <w:rPr>
          <w:rFonts w:ascii="Century Gothic" w:hAnsi="Century Gothic"/>
          <w:sz w:val="20"/>
          <w:szCs w:val="20"/>
        </w:rPr>
      </w:pPr>
    </w:p>
    <w:p w:rsidR="00974902" w:rsidRDefault="00AF24A7">
      <w:pPr>
        <w:spacing w:after="0" w:line="240" w:lineRule="auto"/>
        <w:jc w:val="both"/>
        <w:rPr>
          <w:rFonts w:ascii="Century Gothic" w:hAnsi="Century Gothic"/>
          <w:sz w:val="20"/>
          <w:szCs w:val="20"/>
        </w:rPr>
      </w:pPr>
      <w:r>
        <w:rPr>
          <w:rFonts w:ascii="Century Gothic" w:hAnsi="Century Gothic"/>
          <w:sz w:val="20"/>
          <w:szCs w:val="20"/>
        </w:rPr>
        <w:t>Option 10 – a balanced investment option which will consist of a 50/50 mix of fixed income (Option 7) and equity (Option 9). Option 10 will be rebalanced to the targeted asset mix on a periodic basis, according to the parameters outlined in the rebalancing section of this CIP.</w:t>
      </w:r>
    </w:p>
    <w:p w:rsidR="00974902" w:rsidRDefault="00974902">
      <w:pPr>
        <w:spacing w:after="0" w:line="240" w:lineRule="auto"/>
        <w:jc w:val="both"/>
        <w:rPr>
          <w:rFonts w:ascii="Century Gothic" w:hAnsi="Century Gothic"/>
          <w:sz w:val="20"/>
          <w:szCs w:val="20"/>
        </w:rPr>
      </w:pPr>
    </w:p>
    <w:p w:rsidR="00974902" w:rsidRDefault="00AF24A7">
      <w:pPr>
        <w:jc w:val="both"/>
        <w:rPr>
          <w:rFonts w:ascii="Century Gothic" w:hAnsi="Century Gothic"/>
          <w:sz w:val="20"/>
          <w:szCs w:val="20"/>
        </w:rPr>
      </w:pPr>
      <w:r>
        <w:rPr>
          <w:rFonts w:ascii="Century Gothic" w:hAnsi="Century Gothic"/>
          <w:sz w:val="20"/>
          <w:szCs w:val="20"/>
        </w:rPr>
        <w:t>Option 11 – a combination of fixed income (Option 7) and equity (Option 9) based on the age of the beneficiary or the number of years remaining before the beneficiary plans to enroll in college. The chart below describes the targeted asset allocations based on the participant’s age or years to enrollment.</w:t>
      </w:r>
    </w:p>
    <w:p w:rsidR="00974902" w:rsidRDefault="00974902">
      <w:pPr>
        <w:rPr>
          <w:rFonts w:ascii="Century Gothic" w:hAnsi="Century Gothic"/>
          <w:sz w:val="20"/>
          <w:szCs w:val="20"/>
        </w:rPr>
      </w:pPr>
    </w:p>
    <w:p w:rsidR="00974902" w:rsidRDefault="00974902">
      <w:pPr>
        <w:rPr>
          <w:rFonts w:ascii="Century Gothic" w:hAnsi="Century Gothic"/>
          <w:sz w:val="20"/>
          <w:szCs w:val="20"/>
        </w:rPr>
      </w:pPr>
    </w:p>
    <w:p w:rsidR="00974902" w:rsidRDefault="00974902">
      <w:pPr>
        <w:rPr>
          <w:rFonts w:ascii="Century Gothic" w:hAnsi="Century Gothic"/>
          <w:sz w:val="20"/>
          <w:szCs w:val="20"/>
        </w:rPr>
      </w:pPr>
    </w:p>
    <w:p w:rsidR="00974902" w:rsidRDefault="00974902">
      <w:pPr>
        <w:rPr>
          <w:rFonts w:ascii="Century Gothic" w:hAnsi="Century Gothic"/>
          <w:sz w:val="20"/>
          <w:szCs w:val="20"/>
        </w:rPr>
      </w:pPr>
    </w:p>
    <w:p w:rsidR="00974902" w:rsidRDefault="00974902">
      <w:pPr>
        <w:rPr>
          <w:rFonts w:ascii="Century Gothic" w:hAnsi="Century Gothic"/>
          <w:sz w:val="20"/>
          <w:szCs w:val="20"/>
        </w:rPr>
      </w:pPr>
    </w:p>
    <w:p w:rsidR="00974902" w:rsidRDefault="00974902">
      <w:pPr>
        <w:rPr>
          <w:rFonts w:ascii="Century Gothic" w:hAnsi="Century Gothic"/>
          <w:sz w:val="20"/>
          <w:szCs w:val="20"/>
        </w:rPr>
      </w:pPr>
    </w:p>
    <w:tbl>
      <w:tblPr>
        <w:tblW w:w="0" w:type="auto"/>
        <w:tblLayout w:type="fixed"/>
        <w:tblLook w:val="0000" w:firstRow="0" w:lastRow="0" w:firstColumn="0" w:lastColumn="0" w:noHBand="0" w:noVBand="0"/>
      </w:tblPr>
      <w:tblGrid>
        <w:gridCol w:w="3258"/>
        <w:gridCol w:w="2700"/>
        <w:gridCol w:w="1800"/>
        <w:gridCol w:w="1800"/>
      </w:tblGrid>
      <w:tr w:rsidR="00974902">
        <w:trPr>
          <w:cantSplit/>
        </w:trPr>
        <w:tc>
          <w:tcPr>
            <w:tcW w:w="9558" w:type="dxa"/>
            <w:gridSpan w:val="4"/>
          </w:tcPr>
          <w:p w:rsidR="00974902" w:rsidRDefault="00AF24A7">
            <w:pPr>
              <w:pStyle w:val="Heading1"/>
              <w:numPr>
                <w:ilvl w:val="0"/>
                <w:numId w:val="0"/>
              </w:numPr>
              <w:jc w:val="both"/>
              <w:rPr>
                <w:rFonts w:ascii="Century Gothic" w:hAnsi="Century Gothic"/>
                <w:b w:val="0"/>
                <w:sz w:val="20"/>
                <w:szCs w:val="20"/>
              </w:rPr>
            </w:pPr>
            <w:bookmarkStart w:id="93" w:name="_Toc481681353"/>
            <w:bookmarkStart w:id="94" w:name="_Toc481766564"/>
            <w:r>
              <w:rPr>
                <w:rFonts w:ascii="Century Gothic" w:hAnsi="Century Gothic"/>
                <w:b w:val="0"/>
                <w:color w:val="auto"/>
                <w:sz w:val="20"/>
                <w:szCs w:val="20"/>
              </w:rPr>
              <w:lastRenderedPageBreak/>
              <w:t>Option 11: Allocation between fixed income (Option 7) and equity (Option 9)</w:t>
            </w:r>
            <w:bookmarkEnd w:id="93"/>
            <w:bookmarkEnd w:id="94"/>
          </w:p>
        </w:tc>
      </w:tr>
      <w:tr w:rsidR="00974902">
        <w:trPr>
          <w:cantSplit/>
        </w:trPr>
        <w:tc>
          <w:tcPr>
            <w:tcW w:w="3258" w:type="dxa"/>
          </w:tcPr>
          <w:p w:rsidR="00974902" w:rsidRDefault="00974902">
            <w:pPr>
              <w:jc w:val="both"/>
              <w:rPr>
                <w:rFonts w:ascii="Century Gothic" w:hAnsi="Century Gothic"/>
                <w:sz w:val="20"/>
                <w:szCs w:val="20"/>
              </w:rPr>
            </w:pPr>
          </w:p>
        </w:tc>
        <w:tc>
          <w:tcPr>
            <w:tcW w:w="2700" w:type="dxa"/>
          </w:tcPr>
          <w:p w:rsidR="00974902" w:rsidRDefault="00974902">
            <w:pPr>
              <w:jc w:val="both"/>
              <w:rPr>
                <w:rFonts w:ascii="Century Gothic" w:hAnsi="Century Gothic"/>
                <w:sz w:val="20"/>
                <w:szCs w:val="20"/>
              </w:rPr>
            </w:pPr>
          </w:p>
        </w:tc>
        <w:tc>
          <w:tcPr>
            <w:tcW w:w="3600" w:type="dxa"/>
            <w:gridSpan w:val="2"/>
          </w:tcPr>
          <w:p w:rsidR="00974902" w:rsidRDefault="00974902">
            <w:pPr>
              <w:jc w:val="both"/>
              <w:rPr>
                <w:rFonts w:ascii="Century Gothic" w:hAnsi="Century Gothic"/>
                <w:sz w:val="20"/>
                <w:szCs w:val="20"/>
              </w:rPr>
            </w:pPr>
          </w:p>
        </w:tc>
      </w:tr>
      <w:tr w:rsidR="00974902">
        <w:trPr>
          <w:cantSplit/>
        </w:trPr>
        <w:tc>
          <w:tcPr>
            <w:tcW w:w="3258" w:type="dxa"/>
          </w:tcPr>
          <w:p w:rsidR="00974902" w:rsidRDefault="00974902">
            <w:pPr>
              <w:jc w:val="both"/>
              <w:rPr>
                <w:rFonts w:ascii="Century Gothic" w:hAnsi="Century Gothic"/>
                <w:sz w:val="20"/>
                <w:szCs w:val="20"/>
              </w:rPr>
            </w:pPr>
          </w:p>
        </w:tc>
        <w:tc>
          <w:tcPr>
            <w:tcW w:w="2700" w:type="dxa"/>
          </w:tcPr>
          <w:p w:rsidR="00974902" w:rsidRDefault="00974902">
            <w:pPr>
              <w:jc w:val="both"/>
              <w:rPr>
                <w:rFonts w:ascii="Century Gothic" w:hAnsi="Century Gothic"/>
                <w:sz w:val="20"/>
                <w:szCs w:val="20"/>
              </w:rPr>
            </w:pPr>
          </w:p>
        </w:tc>
        <w:tc>
          <w:tcPr>
            <w:tcW w:w="3600" w:type="dxa"/>
            <w:gridSpan w:val="2"/>
          </w:tcPr>
          <w:p w:rsidR="00974902" w:rsidRDefault="00AF24A7">
            <w:pPr>
              <w:jc w:val="both"/>
              <w:rPr>
                <w:rFonts w:ascii="Century Gothic" w:hAnsi="Century Gothic"/>
                <w:sz w:val="20"/>
                <w:szCs w:val="20"/>
              </w:rPr>
            </w:pPr>
            <w:r>
              <w:rPr>
                <w:rFonts w:ascii="Century Gothic" w:hAnsi="Century Gothic"/>
                <w:sz w:val="20"/>
                <w:szCs w:val="20"/>
              </w:rPr>
              <w:tab/>
              <w:t>Asset Allocation</w:t>
            </w:r>
          </w:p>
        </w:tc>
      </w:tr>
      <w:tr w:rsidR="00974902">
        <w:tc>
          <w:tcPr>
            <w:tcW w:w="3258" w:type="dxa"/>
          </w:tcPr>
          <w:p w:rsidR="00974902" w:rsidRDefault="00AF24A7">
            <w:pPr>
              <w:jc w:val="both"/>
              <w:rPr>
                <w:rFonts w:ascii="Century Gothic" w:hAnsi="Century Gothic"/>
                <w:sz w:val="20"/>
                <w:szCs w:val="20"/>
                <w:u w:val="single"/>
              </w:rPr>
            </w:pPr>
            <w:r>
              <w:rPr>
                <w:rFonts w:ascii="Century Gothic" w:hAnsi="Century Gothic"/>
                <w:sz w:val="20"/>
                <w:szCs w:val="20"/>
                <w:u w:val="single"/>
              </w:rPr>
              <w:t>Aged-Based Option</w:t>
            </w:r>
          </w:p>
        </w:tc>
        <w:tc>
          <w:tcPr>
            <w:tcW w:w="2700" w:type="dxa"/>
          </w:tcPr>
          <w:p w:rsidR="00974902" w:rsidRDefault="00AF24A7">
            <w:pPr>
              <w:jc w:val="both"/>
              <w:rPr>
                <w:rFonts w:ascii="Century Gothic" w:hAnsi="Century Gothic"/>
                <w:sz w:val="20"/>
                <w:szCs w:val="20"/>
                <w:u w:val="single"/>
              </w:rPr>
            </w:pPr>
            <w:r>
              <w:rPr>
                <w:rFonts w:ascii="Century Gothic" w:hAnsi="Century Gothic"/>
                <w:sz w:val="20"/>
                <w:szCs w:val="20"/>
                <w:u w:val="single"/>
              </w:rPr>
              <w:t>Years to Enrollment</w:t>
            </w:r>
          </w:p>
        </w:tc>
        <w:tc>
          <w:tcPr>
            <w:tcW w:w="1800" w:type="dxa"/>
          </w:tcPr>
          <w:p w:rsidR="00974902" w:rsidRDefault="00AF24A7">
            <w:pPr>
              <w:jc w:val="both"/>
              <w:rPr>
                <w:rFonts w:ascii="Century Gothic" w:hAnsi="Century Gothic"/>
                <w:sz w:val="20"/>
                <w:szCs w:val="20"/>
                <w:u w:val="single"/>
              </w:rPr>
            </w:pPr>
            <w:r>
              <w:rPr>
                <w:rFonts w:ascii="Century Gothic" w:hAnsi="Century Gothic"/>
                <w:sz w:val="20"/>
                <w:szCs w:val="20"/>
                <w:u w:val="single"/>
              </w:rPr>
              <w:t>Option 7</w:t>
            </w:r>
          </w:p>
        </w:tc>
        <w:tc>
          <w:tcPr>
            <w:tcW w:w="1800" w:type="dxa"/>
          </w:tcPr>
          <w:p w:rsidR="00974902" w:rsidRDefault="00AF24A7">
            <w:pPr>
              <w:jc w:val="both"/>
              <w:rPr>
                <w:rFonts w:ascii="Century Gothic" w:hAnsi="Century Gothic"/>
                <w:sz w:val="20"/>
                <w:szCs w:val="20"/>
                <w:u w:val="single"/>
              </w:rPr>
            </w:pPr>
            <w:r>
              <w:rPr>
                <w:rFonts w:ascii="Century Gothic" w:hAnsi="Century Gothic"/>
                <w:sz w:val="20"/>
                <w:szCs w:val="20"/>
                <w:u w:val="single"/>
              </w:rPr>
              <w:t>Option 9</w:t>
            </w:r>
          </w:p>
        </w:tc>
      </w:tr>
      <w:tr w:rsidR="00974902">
        <w:tc>
          <w:tcPr>
            <w:tcW w:w="3258" w:type="dxa"/>
          </w:tcPr>
          <w:p w:rsidR="00974902" w:rsidRDefault="00AF24A7">
            <w:pPr>
              <w:jc w:val="both"/>
              <w:rPr>
                <w:rFonts w:ascii="Century Gothic" w:hAnsi="Century Gothic"/>
                <w:sz w:val="20"/>
                <w:szCs w:val="20"/>
              </w:rPr>
            </w:pPr>
            <w:r>
              <w:rPr>
                <w:rFonts w:ascii="Century Gothic" w:hAnsi="Century Gothic"/>
                <w:sz w:val="20"/>
                <w:szCs w:val="20"/>
              </w:rPr>
              <w:t>Age 0 – 4</w:t>
            </w:r>
          </w:p>
        </w:tc>
        <w:tc>
          <w:tcPr>
            <w:tcW w:w="2700" w:type="dxa"/>
          </w:tcPr>
          <w:p w:rsidR="00974902" w:rsidRDefault="00AF24A7">
            <w:pPr>
              <w:pStyle w:val="Header"/>
              <w:jc w:val="both"/>
              <w:rPr>
                <w:rFonts w:ascii="Century Gothic" w:hAnsi="Century Gothic"/>
                <w:sz w:val="20"/>
                <w:szCs w:val="20"/>
              </w:rPr>
            </w:pPr>
            <w:r>
              <w:rPr>
                <w:rFonts w:ascii="Century Gothic" w:hAnsi="Century Gothic"/>
                <w:sz w:val="20"/>
                <w:szCs w:val="20"/>
              </w:rPr>
              <w:t>14 or more years</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0%</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100%</w:t>
            </w:r>
          </w:p>
        </w:tc>
      </w:tr>
      <w:tr w:rsidR="00974902">
        <w:tc>
          <w:tcPr>
            <w:tcW w:w="3258" w:type="dxa"/>
          </w:tcPr>
          <w:p w:rsidR="00974902" w:rsidRDefault="00AF24A7">
            <w:pPr>
              <w:jc w:val="both"/>
              <w:rPr>
                <w:rFonts w:ascii="Century Gothic" w:hAnsi="Century Gothic"/>
                <w:sz w:val="20"/>
                <w:szCs w:val="20"/>
              </w:rPr>
            </w:pPr>
            <w:r>
              <w:rPr>
                <w:rFonts w:ascii="Century Gothic" w:hAnsi="Century Gothic"/>
                <w:sz w:val="20"/>
                <w:szCs w:val="20"/>
              </w:rPr>
              <w:t>Age 5 – 8</w:t>
            </w:r>
          </w:p>
        </w:tc>
        <w:tc>
          <w:tcPr>
            <w:tcW w:w="2700" w:type="dxa"/>
          </w:tcPr>
          <w:p w:rsidR="00974902" w:rsidRDefault="00AF24A7">
            <w:pPr>
              <w:pStyle w:val="Header"/>
              <w:jc w:val="both"/>
              <w:rPr>
                <w:rFonts w:ascii="Century Gothic" w:hAnsi="Century Gothic"/>
                <w:sz w:val="20"/>
                <w:szCs w:val="20"/>
              </w:rPr>
            </w:pPr>
            <w:r>
              <w:rPr>
                <w:rFonts w:ascii="Century Gothic" w:hAnsi="Century Gothic"/>
                <w:sz w:val="20"/>
                <w:szCs w:val="20"/>
              </w:rPr>
              <w:t>10 – 13 years</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25%</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75%</w:t>
            </w:r>
          </w:p>
        </w:tc>
      </w:tr>
      <w:tr w:rsidR="00974902">
        <w:tc>
          <w:tcPr>
            <w:tcW w:w="3258" w:type="dxa"/>
          </w:tcPr>
          <w:p w:rsidR="00974902" w:rsidRDefault="00AF24A7">
            <w:pPr>
              <w:jc w:val="both"/>
              <w:rPr>
                <w:rFonts w:ascii="Century Gothic" w:hAnsi="Century Gothic"/>
                <w:sz w:val="20"/>
                <w:szCs w:val="20"/>
              </w:rPr>
            </w:pPr>
            <w:r>
              <w:rPr>
                <w:rFonts w:ascii="Century Gothic" w:hAnsi="Century Gothic"/>
                <w:sz w:val="20"/>
                <w:szCs w:val="20"/>
              </w:rPr>
              <w:t>Age 9 – 12</w:t>
            </w:r>
          </w:p>
        </w:tc>
        <w:tc>
          <w:tcPr>
            <w:tcW w:w="2700" w:type="dxa"/>
          </w:tcPr>
          <w:p w:rsidR="00974902" w:rsidRDefault="00AF24A7">
            <w:pPr>
              <w:jc w:val="both"/>
              <w:rPr>
                <w:rFonts w:ascii="Century Gothic" w:hAnsi="Century Gothic"/>
                <w:sz w:val="20"/>
                <w:szCs w:val="20"/>
              </w:rPr>
            </w:pPr>
            <w:r>
              <w:rPr>
                <w:rFonts w:ascii="Century Gothic" w:hAnsi="Century Gothic"/>
                <w:sz w:val="20"/>
                <w:szCs w:val="20"/>
              </w:rPr>
              <w:t>6 – 9 years</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50%</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50%</w:t>
            </w:r>
          </w:p>
        </w:tc>
      </w:tr>
      <w:tr w:rsidR="00974902">
        <w:tc>
          <w:tcPr>
            <w:tcW w:w="3258" w:type="dxa"/>
          </w:tcPr>
          <w:p w:rsidR="00974902" w:rsidRDefault="00AF24A7">
            <w:pPr>
              <w:jc w:val="both"/>
              <w:rPr>
                <w:rFonts w:ascii="Century Gothic" w:hAnsi="Century Gothic"/>
                <w:sz w:val="20"/>
                <w:szCs w:val="20"/>
              </w:rPr>
            </w:pPr>
            <w:r>
              <w:rPr>
                <w:rFonts w:ascii="Century Gothic" w:hAnsi="Century Gothic"/>
                <w:sz w:val="20"/>
                <w:szCs w:val="20"/>
              </w:rPr>
              <w:t>Age 13 – 15</w:t>
            </w:r>
          </w:p>
        </w:tc>
        <w:tc>
          <w:tcPr>
            <w:tcW w:w="2700" w:type="dxa"/>
          </w:tcPr>
          <w:p w:rsidR="00974902" w:rsidRDefault="00AF24A7">
            <w:pPr>
              <w:jc w:val="both"/>
              <w:rPr>
                <w:rFonts w:ascii="Century Gothic" w:hAnsi="Century Gothic"/>
                <w:sz w:val="20"/>
                <w:szCs w:val="20"/>
              </w:rPr>
            </w:pPr>
            <w:r>
              <w:rPr>
                <w:rFonts w:ascii="Century Gothic" w:hAnsi="Century Gothic"/>
                <w:sz w:val="20"/>
                <w:szCs w:val="20"/>
              </w:rPr>
              <w:t>3 – 5 years</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75%</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25%</w:t>
            </w:r>
          </w:p>
        </w:tc>
      </w:tr>
      <w:tr w:rsidR="00974902">
        <w:tc>
          <w:tcPr>
            <w:tcW w:w="3258" w:type="dxa"/>
          </w:tcPr>
          <w:p w:rsidR="00974902" w:rsidRDefault="00AF24A7">
            <w:pPr>
              <w:jc w:val="both"/>
              <w:rPr>
                <w:rFonts w:ascii="Century Gothic" w:hAnsi="Century Gothic"/>
                <w:sz w:val="20"/>
                <w:szCs w:val="20"/>
              </w:rPr>
            </w:pPr>
            <w:r>
              <w:rPr>
                <w:rFonts w:ascii="Century Gothic" w:hAnsi="Century Gothic"/>
                <w:sz w:val="20"/>
                <w:szCs w:val="20"/>
              </w:rPr>
              <w:t>Age 16 &amp; above</w:t>
            </w:r>
          </w:p>
        </w:tc>
        <w:tc>
          <w:tcPr>
            <w:tcW w:w="2700" w:type="dxa"/>
          </w:tcPr>
          <w:p w:rsidR="00974902" w:rsidRDefault="00AF24A7">
            <w:pPr>
              <w:pStyle w:val="Header"/>
              <w:jc w:val="both"/>
              <w:rPr>
                <w:rFonts w:ascii="Century Gothic" w:hAnsi="Century Gothic"/>
                <w:sz w:val="20"/>
                <w:szCs w:val="20"/>
              </w:rPr>
            </w:pPr>
            <w:r>
              <w:rPr>
                <w:rFonts w:ascii="Century Gothic" w:hAnsi="Century Gothic"/>
                <w:sz w:val="20"/>
                <w:szCs w:val="20"/>
              </w:rPr>
              <w:t>0 – 2 years</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100%</w:t>
            </w:r>
          </w:p>
        </w:tc>
        <w:tc>
          <w:tcPr>
            <w:tcW w:w="1800" w:type="dxa"/>
          </w:tcPr>
          <w:p w:rsidR="00974902" w:rsidRDefault="00AF24A7">
            <w:pPr>
              <w:jc w:val="both"/>
              <w:rPr>
                <w:rFonts w:ascii="Century Gothic" w:hAnsi="Century Gothic"/>
                <w:sz w:val="20"/>
                <w:szCs w:val="20"/>
              </w:rPr>
            </w:pPr>
            <w:r>
              <w:rPr>
                <w:rFonts w:ascii="Century Gothic" w:hAnsi="Century Gothic"/>
                <w:sz w:val="20"/>
                <w:szCs w:val="20"/>
              </w:rPr>
              <w:t>0%</w:t>
            </w:r>
          </w:p>
        </w:tc>
      </w:tr>
    </w:tbl>
    <w:p w:rsidR="00974902" w:rsidRDefault="00974902">
      <w:pPr>
        <w:pStyle w:val="Header"/>
        <w:jc w:val="both"/>
        <w:rPr>
          <w:rFonts w:ascii="Century Gothic" w:hAnsi="Century Gothic"/>
          <w:sz w:val="20"/>
          <w:szCs w:val="20"/>
        </w:rPr>
      </w:pPr>
    </w:p>
    <w:p w:rsidR="00974902" w:rsidRDefault="00AF24A7">
      <w:pPr>
        <w:pStyle w:val="PlainText"/>
        <w:jc w:val="both"/>
        <w:rPr>
          <w:rFonts w:ascii="Century Gothic" w:hAnsi="Century Gothic"/>
          <w:b/>
        </w:rPr>
      </w:pPr>
      <w:r>
        <w:rPr>
          <w:rFonts w:ascii="Century Gothic" w:hAnsi="Century Gothic"/>
          <w:b/>
        </w:rPr>
        <w:t xml:space="preserve">REPORTING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Executive Director will cause monthly flash reports and detailed quarterly reports of the investment performance of each investment option to be prepared for review by the Board.</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To ensure that the Executive Director and the Board have the necessary information to discharge their oversight responsibility, the quarterly reports will include the following:</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Investment results for each investment option will be reported each quarter for the most recent completed quarter, calendar year-to-date, most recent twelve month period and cumulatively from inception showing returns relative to appropriate market benchmarks. Returns will be reported on a time weighted basis. At a minimum, the report will contain the following items:</w:t>
      </w:r>
    </w:p>
    <w:p w:rsidR="00974902" w:rsidRDefault="00974902">
      <w:pPr>
        <w:pStyle w:val="PlainText"/>
        <w:rPr>
          <w:rFonts w:ascii="Century Gothic" w:hAnsi="Century Gothic"/>
        </w:rPr>
      </w:pPr>
    </w:p>
    <w:p w:rsidR="00974902" w:rsidRDefault="00AF24A7">
      <w:pPr>
        <w:pStyle w:val="PlainText"/>
        <w:numPr>
          <w:ilvl w:val="0"/>
          <w:numId w:val="59"/>
        </w:numPr>
        <w:tabs>
          <w:tab w:val="num" w:pos="360"/>
        </w:tabs>
        <w:ind w:left="360"/>
        <w:jc w:val="both"/>
        <w:rPr>
          <w:rFonts w:ascii="Century Gothic" w:hAnsi="Century Gothic"/>
        </w:rPr>
      </w:pPr>
      <w:r>
        <w:rPr>
          <w:rFonts w:ascii="Century Gothic" w:hAnsi="Century Gothic"/>
        </w:rPr>
        <w:t>Performance Measurement and Attribution</w:t>
      </w:r>
    </w:p>
    <w:p w:rsidR="00974902" w:rsidRDefault="00974902">
      <w:pPr>
        <w:pStyle w:val="PlainText"/>
        <w:jc w:val="both"/>
        <w:rPr>
          <w:rFonts w:ascii="Century Gothic" w:hAnsi="Century Gothic"/>
        </w:rPr>
      </w:pPr>
    </w:p>
    <w:p w:rsidR="00974902" w:rsidRDefault="00AF24A7">
      <w:pPr>
        <w:pStyle w:val="PlainText"/>
        <w:numPr>
          <w:ilvl w:val="0"/>
          <w:numId w:val="60"/>
        </w:numPr>
        <w:tabs>
          <w:tab w:val="clear" w:pos="360"/>
          <w:tab w:val="num" w:pos="720"/>
        </w:tabs>
        <w:ind w:left="720"/>
        <w:jc w:val="both"/>
        <w:rPr>
          <w:rFonts w:ascii="Century Gothic" w:hAnsi="Century Gothic"/>
        </w:rPr>
      </w:pPr>
      <w:r>
        <w:rPr>
          <w:rFonts w:ascii="Century Gothic" w:hAnsi="Century Gothic"/>
        </w:rPr>
        <w:t xml:space="preserve">Performance of each investment option relative to its stated benchmark will be reported. </w:t>
      </w:r>
    </w:p>
    <w:p w:rsidR="00974902" w:rsidRDefault="00974902">
      <w:pPr>
        <w:pStyle w:val="PlainText"/>
        <w:jc w:val="both"/>
        <w:rPr>
          <w:rFonts w:ascii="Century Gothic" w:hAnsi="Century Gothic"/>
        </w:rPr>
      </w:pPr>
    </w:p>
    <w:p w:rsidR="00974902" w:rsidRDefault="00AF24A7">
      <w:pPr>
        <w:pStyle w:val="PlainText"/>
        <w:numPr>
          <w:ilvl w:val="0"/>
          <w:numId w:val="60"/>
        </w:numPr>
        <w:tabs>
          <w:tab w:val="clear" w:pos="360"/>
          <w:tab w:val="num" w:pos="720"/>
        </w:tabs>
        <w:ind w:left="720"/>
        <w:jc w:val="both"/>
        <w:rPr>
          <w:rFonts w:ascii="Century Gothic" w:hAnsi="Century Gothic"/>
        </w:rPr>
      </w:pPr>
      <w:r>
        <w:rPr>
          <w:rFonts w:ascii="Century Gothic" w:hAnsi="Century Gothic"/>
        </w:rPr>
        <w:t xml:space="preserve">The performance of each underlying sub-portfolio will be reported relative to its stated benchmark. </w:t>
      </w:r>
    </w:p>
    <w:p w:rsidR="00974902" w:rsidRDefault="00974902">
      <w:pPr>
        <w:pStyle w:val="PlainText"/>
        <w:jc w:val="both"/>
        <w:rPr>
          <w:rFonts w:ascii="Century Gothic" w:hAnsi="Century Gothic"/>
        </w:rPr>
      </w:pPr>
    </w:p>
    <w:p w:rsidR="00974902" w:rsidRDefault="00AF24A7">
      <w:pPr>
        <w:pStyle w:val="PlainText"/>
        <w:numPr>
          <w:ilvl w:val="0"/>
          <w:numId w:val="30"/>
        </w:numPr>
        <w:tabs>
          <w:tab w:val="clear" w:pos="360"/>
          <w:tab w:val="num" w:pos="720"/>
        </w:tabs>
        <w:ind w:left="720"/>
        <w:jc w:val="both"/>
        <w:rPr>
          <w:rFonts w:ascii="Century Gothic" w:hAnsi="Century Gothic"/>
        </w:rPr>
      </w:pPr>
      <w:r>
        <w:rPr>
          <w:rFonts w:ascii="Century Gothic" w:hAnsi="Century Gothic"/>
        </w:rPr>
        <w:t>An attribution analysis of each investment option and sub-portfolio will be provided.</w:t>
      </w:r>
    </w:p>
    <w:p w:rsidR="00974902" w:rsidRDefault="00AF24A7">
      <w:pPr>
        <w:pStyle w:val="PlainText"/>
        <w:numPr>
          <w:ilvl w:val="0"/>
          <w:numId w:val="31"/>
        </w:numPr>
        <w:tabs>
          <w:tab w:val="clear" w:pos="360"/>
          <w:tab w:val="num" w:pos="1080"/>
        </w:tabs>
        <w:ind w:left="1080"/>
        <w:jc w:val="both"/>
        <w:rPr>
          <w:rFonts w:ascii="Century Gothic" w:hAnsi="Century Gothic"/>
        </w:rPr>
      </w:pPr>
      <w:r>
        <w:rPr>
          <w:rFonts w:ascii="Century Gothic" w:hAnsi="Century Gothic"/>
        </w:rPr>
        <w:t>Fixed income attribution will include effects of changes in interest rates, sector and quality decisions and reinvestment rate.</w:t>
      </w:r>
    </w:p>
    <w:p w:rsidR="00974902" w:rsidRDefault="00AF24A7">
      <w:pPr>
        <w:pStyle w:val="PlainText"/>
        <w:numPr>
          <w:ilvl w:val="0"/>
          <w:numId w:val="31"/>
        </w:numPr>
        <w:tabs>
          <w:tab w:val="clear" w:pos="360"/>
          <w:tab w:val="num" w:pos="1080"/>
        </w:tabs>
        <w:ind w:left="1080"/>
        <w:jc w:val="both"/>
        <w:rPr>
          <w:rFonts w:ascii="Century Gothic" w:hAnsi="Century Gothic"/>
        </w:rPr>
      </w:pPr>
      <w:r>
        <w:rPr>
          <w:rFonts w:ascii="Century Gothic" w:hAnsi="Century Gothic"/>
        </w:rPr>
        <w:t>Equity attribution will include such factors as sector and industry weights, beta, company size, yield and growth in earnings.</w:t>
      </w:r>
    </w:p>
    <w:p w:rsidR="00974902" w:rsidRDefault="00AF24A7">
      <w:pPr>
        <w:pStyle w:val="PlainText"/>
        <w:numPr>
          <w:ilvl w:val="0"/>
          <w:numId w:val="31"/>
        </w:numPr>
        <w:tabs>
          <w:tab w:val="clear" w:pos="360"/>
          <w:tab w:val="num" w:pos="1080"/>
        </w:tabs>
        <w:ind w:left="1080"/>
        <w:jc w:val="both"/>
        <w:rPr>
          <w:rFonts w:ascii="Century Gothic" w:hAnsi="Century Gothic"/>
        </w:rPr>
      </w:pPr>
      <w:r>
        <w:rPr>
          <w:rFonts w:ascii="Century Gothic" w:hAnsi="Century Gothic"/>
        </w:rPr>
        <w:t>The attribution analysis will also account for any deviations in asset class or style weights from the targeted portfolio weights.</w:t>
      </w:r>
    </w:p>
    <w:p w:rsidR="00974902" w:rsidRDefault="00974902">
      <w:pPr>
        <w:pStyle w:val="PlainText"/>
        <w:jc w:val="both"/>
        <w:rPr>
          <w:rFonts w:ascii="Century Gothic" w:hAnsi="Century Gothic"/>
        </w:rPr>
      </w:pPr>
    </w:p>
    <w:p w:rsidR="00974902" w:rsidRDefault="00AF24A7">
      <w:pPr>
        <w:pStyle w:val="PlainText"/>
        <w:numPr>
          <w:ilvl w:val="0"/>
          <w:numId w:val="32"/>
        </w:numPr>
        <w:tabs>
          <w:tab w:val="clear" w:pos="360"/>
          <w:tab w:val="num" w:pos="720"/>
        </w:tabs>
        <w:ind w:left="720"/>
        <w:jc w:val="both"/>
        <w:rPr>
          <w:rFonts w:ascii="Century Gothic" w:hAnsi="Century Gothic"/>
        </w:rPr>
      </w:pPr>
      <w:r>
        <w:rPr>
          <w:rFonts w:ascii="Century Gothic" w:hAnsi="Century Gothic"/>
        </w:rPr>
        <w:t>Returns for each manager will also be evaluated on a risk-adjusted basis.</w:t>
      </w:r>
    </w:p>
    <w:p w:rsidR="00974902" w:rsidRDefault="00AF24A7">
      <w:pPr>
        <w:rPr>
          <w:rFonts w:ascii="Century Gothic" w:eastAsia="Times New Roman" w:hAnsi="Century Gothic" w:cs="Times New Roman"/>
          <w:sz w:val="20"/>
          <w:szCs w:val="20"/>
        </w:rPr>
      </w:pPr>
      <w:r>
        <w:rPr>
          <w:rFonts w:ascii="Century Gothic" w:hAnsi="Century Gothic"/>
        </w:rPr>
        <w:br w:type="page"/>
      </w:r>
    </w:p>
    <w:p w:rsidR="00974902" w:rsidRDefault="00AF24A7">
      <w:pPr>
        <w:pStyle w:val="PlainText"/>
        <w:numPr>
          <w:ilvl w:val="0"/>
          <w:numId w:val="59"/>
        </w:numPr>
        <w:tabs>
          <w:tab w:val="num" w:pos="360"/>
        </w:tabs>
        <w:ind w:left="360"/>
        <w:jc w:val="both"/>
        <w:rPr>
          <w:rFonts w:ascii="Century Gothic" w:hAnsi="Century Gothic"/>
        </w:rPr>
      </w:pPr>
      <w:r>
        <w:rPr>
          <w:rFonts w:ascii="Century Gothic" w:hAnsi="Century Gothic"/>
        </w:rPr>
        <w:lastRenderedPageBreak/>
        <w:t>Compliance and Monitoring</w:t>
      </w:r>
    </w:p>
    <w:p w:rsidR="00974902" w:rsidRDefault="00974902">
      <w:pPr>
        <w:pStyle w:val="PlainText"/>
        <w:jc w:val="both"/>
        <w:rPr>
          <w:rFonts w:ascii="Century Gothic" w:hAnsi="Century Gothic"/>
        </w:rPr>
      </w:pPr>
    </w:p>
    <w:p w:rsidR="00974902" w:rsidRDefault="00AF24A7">
      <w:pPr>
        <w:pStyle w:val="PlainText"/>
        <w:numPr>
          <w:ilvl w:val="0"/>
          <w:numId w:val="57"/>
        </w:numPr>
        <w:tabs>
          <w:tab w:val="clear" w:pos="360"/>
          <w:tab w:val="num" w:pos="720"/>
        </w:tabs>
        <w:ind w:left="720"/>
        <w:jc w:val="both"/>
        <w:rPr>
          <w:rFonts w:ascii="Century Gothic" w:hAnsi="Century Gothic"/>
        </w:rPr>
      </w:pPr>
      <w:r>
        <w:rPr>
          <w:rFonts w:ascii="Century Gothic" w:hAnsi="Century Gothic"/>
        </w:rPr>
        <w:t>The allocation of each investment option will be reported to ensure allocation guidelines are met.</w:t>
      </w:r>
    </w:p>
    <w:p w:rsidR="00974902" w:rsidRDefault="00974902">
      <w:pPr>
        <w:pStyle w:val="PlainText"/>
        <w:jc w:val="both"/>
        <w:rPr>
          <w:rFonts w:ascii="Century Gothic" w:hAnsi="Century Gothic"/>
        </w:rPr>
      </w:pPr>
    </w:p>
    <w:p w:rsidR="00974902" w:rsidRDefault="00AF24A7">
      <w:pPr>
        <w:pStyle w:val="PlainText"/>
        <w:numPr>
          <w:ilvl w:val="0"/>
          <w:numId w:val="55"/>
        </w:numPr>
        <w:tabs>
          <w:tab w:val="clear" w:pos="360"/>
          <w:tab w:val="num" w:pos="720"/>
        </w:tabs>
        <w:ind w:left="720"/>
        <w:jc w:val="both"/>
        <w:rPr>
          <w:rFonts w:ascii="Century Gothic" w:hAnsi="Century Gothic"/>
        </w:rPr>
      </w:pPr>
      <w:r>
        <w:rPr>
          <w:rFonts w:ascii="Century Gothic" w:hAnsi="Century Gothic"/>
        </w:rPr>
        <w:t>Asset holdings will be reported to ensure investments are being made only in authorized securities and investment vehicles.</w:t>
      </w:r>
    </w:p>
    <w:p w:rsidR="00974902" w:rsidRDefault="00974902">
      <w:pPr>
        <w:pStyle w:val="PlainText"/>
        <w:jc w:val="both"/>
        <w:rPr>
          <w:rFonts w:ascii="Century Gothic" w:hAnsi="Century Gothic"/>
        </w:rPr>
      </w:pPr>
    </w:p>
    <w:p w:rsidR="00974902" w:rsidRDefault="00AF24A7">
      <w:pPr>
        <w:pStyle w:val="PlainText"/>
        <w:numPr>
          <w:ilvl w:val="0"/>
          <w:numId w:val="56"/>
        </w:numPr>
        <w:tabs>
          <w:tab w:val="clear" w:pos="360"/>
          <w:tab w:val="num" w:pos="720"/>
        </w:tabs>
        <w:ind w:left="720"/>
        <w:jc w:val="both"/>
        <w:rPr>
          <w:rFonts w:ascii="Century Gothic" w:hAnsi="Century Gothic"/>
        </w:rPr>
      </w:pPr>
      <w:r>
        <w:rPr>
          <w:rFonts w:ascii="Century Gothic" w:hAnsi="Century Gothic"/>
        </w:rPr>
        <w:t xml:space="preserve">Each manager will certify </w:t>
      </w:r>
      <w:r>
        <w:rPr>
          <w:rFonts w:ascii="Century Gothic" w:hAnsi="Century Gothic"/>
          <w:i/>
        </w:rPr>
        <w:t>monthly</w:t>
      </w:r>
      <w:r>
        <w:rPr>
          <w:rFonts w:ascii="Century Gothic" w:hAnsi="Century Gothic"/>
        </w:rPr>
        <w:t xml:space="preserve"> that their portfolio is in compliance with the terms of this CIP and their specific investment mandate, as well as any applicable prospectus and Statement of Additional Information. Any exceptions to policy will be noted and a statement provided indicating the steps to be taken to bring the portfolio back into compliance with the policy.</w:t>
      </w:r>
    </w:p>
    <w:p w:rsidR="00974902" w:rsidRDefault="00974902">
      <w:pPr>
        <w:pStyle w:val="PlainText"/>
        <w:ind w:left="720"/>
        <w:jc w:val="both"/>
        <w:rPr>
          <w:rFonts w:ascii="Century Gothic" w:hAnsi="Century Gothic"/>
        </w:rPr>
      </w:pPr>
    </w:p>
    <w:p w:rsidR="00974902" w:rsidRDefault="00AF24A7">
      <w:pPr>
        <w:pStyle w:val="PlainText"/>
        <w:numPr>
          <w:ilvl w:val="0"/>
          <w:numId w:val="56"/>
        </w:numPr>
        <w:tabs>
          <w:tab w:val="clear" w:pos="360"/>
          <w:tab w:val="num" w:pos="720"/>
        </w:tabs>
        <w:ind w:left="720"/>
        <w:jc w:val="both"/>
        <w:rPr>
          <w:rFonts w:ascii="Century Gothic" w:hAnsi="Century Gothic"/>
        </w:rPr>
      </w:pPr>
      <w:r>
        <w:rPr>
          <w:rFonts w:ascii="Century Gothic" w:hAnsi="Century Gothic"/>
        </w:rPr>
        <w:t>Each manager will be monitored based upon the performance objectives as outlined in this Comprehensive Investment Plan.</w:t>
      </w:r>
    </w:p>
    <w:p w:rsidR="00974902" w:rsidRDefault="00974902">
      <w:pPr>
        <w:pStyle w:val="PlainText"/>
        <w:jc w:val="both"/>
        <w:rPr>
          <w:rFonts w:ascii="Century Gothic" w:hAnsi="Century Gothic"/>
        </w:rPr>
      </w:pPr>
    </w:p>
    <w:p w:rsidR="00974902" w:rsidRDefault="00AF24A7">
      <w:pPr>
        <w:pStyle w:val="PlainText"/>
        <w:numPr>
          <w:ilvl w:val="0"/>
          <w:numId w:val="56"/>
        </w:numPr>
        <w:tabs>
          <w:tab w:val="clear" w:pos="360"/>
          <w:tab w:val="num" w:pos="720"/>
        </w:tabs>
        <w:ind w:left="720"/>
        <w:jc w:val="both"/>
        <w:rPr>
          <w:rFonts w:ascii="Century Gothic" w:hAnsi="Century Gothic"/>
        </w:rPr>
      </w:pPr>
      <w:r>
        <w:rPr>
          <w:rFonts w:ascii="Century Gothic" w:hAnsi="Century Gothic"/>
        </w:rPr>
        <w:t>Each manager shall immediately disclose to the Board in writing any instance which a member of the investment manager’s Board of Directors, an officer of the investment management firm, or a member of the portfolio management staff is also a member of the Board of Directors, an officer of, or a significant shareholder of 5% or more in stocks of a company in which they propose to invest Board funds.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
    <w:p w:rsidR="00974902" w:rsidRDefault="00974902">
      <w:pPr>
        <w:pStyle w:val="PlainText"/>
        <w:jc w:val="both"/>
        <w:rPr>
          <w:rFonts w:ascii="Century Gothic" w:hAnsi="Century Gothic"/>
        </w:rPr>
      </w:pPr>
    </w:p>
    <w:p w:rsidR="00974902" w:rsidRDefault="00AF24A7">
      <w:pPr>
        <w:pStyle w:val="PlainText"/>
        <w:numPr>
          <w:ilvl w:val="0"/>
          <w:numId w:val="56"/>
        </w:numPr>
        <w:tabs>
          <w:tab w:val="clear" w:pos="360"/>
          <w:tab w:val="num" w:pos="720"/>
        </w:tabs>
        <w:ind w:left="720"/>
        <w:jc w:val="both"/>
        <w:rPr>
          <w:rFonts w:ascii="Century Gothic" w:hAnsi="Century Gothic"/>
        </w:rPr>
      </w:pPr>
      <w:r>
        <w:rPr>
          <w:rFonts w:ascii="Century Gothic" w:hAnsi="Century Gothic"/>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974902" w:rsidRDefault="00AF24A7">
      <w:pPr>
        <w:rPr>
          <w:rFonts w:ascii="Century Gothic" w:eastAsia="Times New Roman" w:hAnsi="Century Gothic" w:cs="Times New Roman"/>
          <w:sz w:val="20"/>
          <w:szCs w:val="20"/>
        </w:rPr>
      </w:pPr>
      <w:r>
        <w:rPr>
          <w:rFonts w:ascii="Century Gothic" w:hAnsi="Century Gothic"/>
        </w:rPr>
        <w:br w:type="page"/>
      </w:r>
    </w:p>
    <w:p w:rsidR="00974902" w:rsidRDefault="00AF24A7">
      <w:pPr>
        <w:pStyle w:val="PlainText"/>
        <w:jc w:val="both"/>
        <w:rPr>
          <w:rFonts w:ascii="Century Gothic" w:hAnsi="Century Gothic"/>
          <w:b/>
        </w:rPr>
      </w:pPr>
      <w:r>
        <w:rPr>
          <w:rFonts w:ascii="Century Gothic" w:hAnsi="Century Gothic"/>
          <w:b/>
        </w:rPr>
        <w:lastRenderedPageBreak/>
        <w:t>AUTHORIZED INVESTMENT VEHICLES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Funds managed by the Florida Prepaid College Board may be placed in the following accounts or investments: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w:t>
      </w:r>
      <w:r>
        <w:rPr>
          <w:rFonts w:ascii="Century Gothic" w:hAnsi="Century Gothic"/>
        </w:rPr>
        <w:tab/>
        <w:t>Deposit accounts and certificates of deposit in banks.</w:t>
      </w:r>
    </w:p>
    <w:p w:rsidR="00974902" w:rsidRDefault="00AF24A7">
      <w:pPr>
        <w:pStyle w:val="PlainText"/>
        <w:jc w:val="both"/>
        <w:rPr>
          <w:rFonts w:ascii="Century Gothic" w:hAnsi="Century Gothic"/>
        </w:rPr>
      </w:pPr>
      <w:r>
        <w:rPr>
          <w:rFonts w:ascii="Century Gothic" w:hAnsi="Century Gothic"/>
        </w:rPr>
        <w:tab/>
      </w:r>
    </w:p>
    <w:p w:rsidR="00974902" w:rsidRDefault="00AF24A7">
      <w:pPr>
        <w:pStyle w:val="PlainText"/>
        <w:jc w:val="both"/>
        <w:rPr>
          <w:rFonts w:ascii="Century Gothic" w:hAnsi="Century Gothic"/>
        </w:rPr>
      </w:pPr>
      <w:r>
        <w:rPr>
          <w:rFonts w:ascii="Century Gothic" w:hAnsi="Century Gothic"/>
        </w:rPr>
        <w:t>2.</w:t>
      </w:r>
      <w:r>
        <w:rPr>
          <w:rFonts w:ascii="Century Gothic" w:hAnsi="Century Gothic"/>
        </w:rPr>
        <w:tab/>
        <w:t xml:space="preserve">Obligations of United States Treasury, including Treasury Inflation Protection (TIPs) </w:t>
      </w:r>
      <w:r>
        <w:rPr>
          <w:rFonts w:ascii="Century Gothic" w:hAnsi="Century Gothic"/>
        </w:rPr>
        <w:tab/>
        <w:t>bonds.</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3.</w:t>
      </w:r>
      <w:r>
        <w:rPr>
          <w:rFonts w:ascii="Century Gothic" w:hAnsi="Century Gothic"/>
        </w:rPr>
        <w:tab/>
        <w:t xml:space="preserve">Obligations of agencies of the United States Government (not restricted to full faith and credit obligations).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4.</w:t>
      </w:r>
      <w:r>
        <w:rPr>
          <w:rFonts w:ascii="Century Gothic" w:hAnsi="Century Gothic"/>
        </w:rPr>
        <w:tab/>
        <w:t>Commercial paper of prime quality of the highest letter and numerical rating established by a nationally recognized rating service.</w:t>
      </w:r>
    </w:p>
    <w:p w:rsidR="00974902" w:rsidRDefault="00974902">
      <w:pPr>
        <w:pStyle w:val="PlainText"/>
        <w:rPr>
          <w:rFonts w:ascii="Century Gothic" w:hAnsi="Century Gothic"/>
        </w:rPr>
      </w:pPr>
    </w:p>
    <w:p w:rsidR="00974902" w:rsidRDefault="00AF24A7">
      <w:pPr>
        <w:pStyle w:val="PlainText"/>
        <w:rPr>
          <w:rFonts w:ascii="Century Gothic" w:hAnsi="Century Gothic"/>
        </w:rPr>
      </w:pPr>
      <w:r>
        <w:rPr>
          <w:rFonts w:ascii="Century Gothic" w:hAnsi="Century Gothic"/>
        </w:rPr>
        <w:t>5.</w:t>
      </w:r>
      <w:r>
        <w:rPr>
          <w:rFonts w:ascii="Century Gothic" w:hAnsi="Century Gothic"/>
        </w:rPr>
        <w:tab/>
        <w:t xml:space="preserve">Bankers' acceptances that are accepted by a member bank of the Federal Reserve System.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strike/>
        </w:rPr>
      </w:pPr>
      <w:r>
        <w:rPr>
          <w:rFonts w:ascii="Century Gothic" w:hAnsi="Century Gothic"/>
        </w:rPr>
        <w:t>6.</w:t>
      </w:r>
      <w:r>
        <w:rPr>
          <w:rFonts w:ascii="Century Gothic" w:hAnsi="Century Gothic"/>
        </w:rPr>
        <w:tab/>
        <w:t>Corporate debt obligations preferred stock, mortgage-backed, commercial mortage-backed, and asset-backed securities, provided the obligations meet the minimum credit criteria set forth elsewhere in this CIP.</w:t>
      </w:r>
      <w:r>
        <w:rPr>
          <w:rFonts w:ascii="Century Gothic" w:hAnsi="Century Gothic"/>
          <w:strike/>
        </w:rPr>
        <w:t xml:space="preserve"> </w:t>
      </w:r>
    </w:p>
    <w:p w:rsidR="00974902" w:rsidRDefault="00974902">
      <w:pPr>
        <w:pStyle w:val="PlainText"/>
        <w:jc w:val="both"/>
        <w:rPr>
          <w:rFonts w:ascii="Century Gothic" w:hAnsi="Century Gothic"/>
          <w:strike/>
        </w:rPr>
      </w:pPr>
    </w:p>
    <w:p w:rsidR="00974902" w:rsidRDefault="00AF24A7">
      <w:pPr>
        <w:pStyle w:val="PlainText"/>
        <w:ind w:left="720" w:hanging="720"/>
        <w:jc w:val="both"/>
        <w:rPr>
          <w:rFonts w:ascii="Century Gothic" w:hAnsi="Century Gothic"/>
        </w:rPr>
      </w:pPr>
      <w:r>
        <w:rPr>
          <w:rFonts w:ascii="Century Gothic" w:hAnsi="Century Gothic"/>
        </w:rPr>
        <w:t>7.</w:t>
      </w:r>
      <w:r>
        <w:rPr>
          <w:rFonts w:ascii="Century Gothic" w:hAnsi="Century Gothic"/>
        </w:rPr>
        <w:tab/>
        <w:t>Institutional investment products including fixed annuities, variable annuities and guaranteed insurance contracts that are obligations of United States insurance companies.</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8.</w:t>
      </w:r>
      <w:r>
        <w:rPr>
          <w:rFonts w:ascii="Century Gothic" w:hAnsi="Century Gothic"/>
        </w:rPr>
        <w:tab/>
        <w:t xml:space="preserve">Common stocks traded on domestic exchanges, including over-the-counter markets and recognized third and fourth markets. </w:t>
      </w:r>
    </w:p>
    <w:p w:rsidR="00974902" w:rsidRDefault="00974902">
      <w:pPr>
        <w:pStyle w:val="PlainText"/>
        <w:ind w:left="720" w:hanging="72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9.</w:t>
      </w:r>
      <w:r>
        <w:rPr>
          <w:rFonts w:ascii="Century Gothic" w:hAnsi="Century Gothic"/>
        </w:rPr>
        <w:tab/>
        <w:t xml:space="preserve">Common stocks of foreign-domiciled companies traded on non-U.S. exchanges including over-the-counter markets.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10.</w:t>
      </w:r>
      <w:r>
        <w:rPr>
          <w:rFonts w:ascii="Century Gothic" w:hAnsi="Century Gothic"/>
        </w:rPr>
        <w:tab/>
        <w:t>Collateralized repurchase agreements for which the underlying securities are obligations of the United States Treasury or agencies of the United States Government.</w:t>
      </w:r>
    </w:p>
    <w:p w:rsidR="00974902" w:rsidRDefault="00974902">
      <w:pPr>
        <w:pStyle w:val="PlainText"/>
        <w:ind w:left="720" w:hanging="72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11.</w:t>
      </w:r>
      <w:r>
        <w:rPr>
          <w:rFonts w:ascii="Century Gothic" w:hAnsi="Century Gothic"/>
        </w:rPr>
        <w:tab/>
        <w:t>Commingled investment funds and mutual funds.</w:t>
      </w:r>
    </w:p>
    <w:p w:rsidR="00974902" w:rsidRDefault="00974902">
      <w:pPr>
        <w:pStyle w:val="PlainText"/>
        <w:ind w:left="36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12.</w:t>
      </w:r>
      <w:r>
        <w:rPr>
          <w:rFonts w:ascii="Century Gothic" w:hAnsi="Century Gothic"/>
        </w:rPr>
        <w:tab/>
        <w:t>American Depositary Receipts, 144(a) securities (with registration rights), and Yankee bonds (including sovereign bonds issued in USD).</w:t>
      </w:r>
    </w:p>
    <w:p w:rsidR="00974902" w:rsidRDefault="00974902">
      <w:pPr>
        <w:pStyle w:val="PlainText"/>
        <w:ind w:left="1080"/>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13.</w:t>
      </w:r>
      <w:r>
        <w:rPr>
          <w:rFonts w:ascii="Century Gothic" w:hAnsi="Century Gothic"/>
        </w:rPr>
        <w:tab/>
        <w:t xml:space="preserve">Municipal Bonds issued or guaranteed by U.S. local, city, and state governments and agencies including Build America Bonds (BABs). </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14.</w:t>
      </w:r>
      <w:r>
        <w:rPr>
          <w:rFonts w:ascii="Century Gothic" w:hAnsi="Century Gothic"/>
        </w:rPr>
        <w:tab/>
        <w:t xml:space="preserve">Exchange Traded Funds (ETF’s), traded on domestic exchanges, so long as consistent with the investment mandate, and guidelines.  </w:t>
      </w:r>
    </w:p>
    <w:p w:rsidR="00974902" w:rsidRDefault="00974902">
      <w:pPr>
        <w:pStyle w:val="PlainText"/>
        <w:ind w:left="720" w:hanging="720"/>
        <w:jc w:val="both"/>
        <w:rPr>
          <w:rFonts w:ascii="Century Gothic" w:hAnsi="Century Gothic"/>
        </w:rPr>
      </w:pPr>
    </w:p>
    <w:p w:rsidR="00974902" w:rsidRDefault="00AF24A7">
      <w:pPr>
        <w:pStyle w:val="BodyTextIndent2"/>
        <w:tabs>
          <w:tab w:val="left" w:pos="720"/>
        </w:tabs>
        <w:spacing w:after="0" w:line="240" w:lineRule="auto"/>
        <w:ind w:left="0"/>
        <w:rPr>
          <w:rFonts w:ascii="Century Gothic" w:hAnsi="Century Gothic"/>
          <w:sz w:val="20"/>
          <w:szCs w:val="20"/>
        </w:rPr>
      </w:pPr>
      <w:r>
        <w:rPr>
          <w:rFonts w:ascii="Century Gothic" w:hAnsi="Century Gothic"/>
          <w:sz w:val="20"/>
          <w:szCs w:val="20"/>
        </w:rPr>
        <w:t>15.</w:t>
      </w:r>
      <w:r>
        <w:rPr>
          <w:rFonts w:ascii="Century Gothic" w:hAnsi="Century Gothic"/>
          <w:sz w:val="20"/>
          <w:szCs w:val="20"/>
        </w:rPr>
        <w:tab/>
        <w:t xml:space="preserve">Mortgage TBAs (“To Be Announced”) securities. These securities require an equivalent </w:t>
      </w:r>
      <w:r>
        <w:rPr>
          <w:rFonts w:ascii="Century Gothic" w:hAnsi="Century Gothic"/>
          <w:sz w:val="20"/>
          <w:szCs w:val="20"/>
        </w:rPr>
        <w:tab/>
        <w:t xml:space="preserve">amount of cash equivalents set aside for future settlement of the forward agreement.  </w:t>
      </w:r>
    </w:p>
    <w:p w:rsidR="00974902" w:rsidRDefault="00974902">
      <w:pPr>
        <w:pStyle w:val="BodyTextIndent2"/>
        <w:tabs>
          <w:tab w:val="left" w:pos="720"/>
        </w:tabs>
        <w:spacing w:after="0" w:line="240" w:lineRule="auto"/>
        <w:ind w:left="0"/>
        <w:rPr>
          <w:rFonts w:ascii="Century Gothic" w:hAnsi="Century Gothic"/>
          <w:sz w:val="20"/>
          <w:szCs w:val="20"/>
        </w:rPr>
      </w:pPr>
    </w:p>
    <w:p w:rsidR="00974902" w:rsidRDefault="00AF24A7">
      <w:pPr>
        <w:pStyle w:val="PlainText"/>
        <w:ind w:left="720" w:hanging="720"/>
        <w:jc w:val="both"/>
        <w:rPr>
          <w:rFonts w:ascii="Century Gothic" w:hAnsi="Century Gothic"/>
        </w:rPr>
      </w:pPr>
      <w:r>
        <w:rPr>
          <w:rFonts w:ascii="Century Gothic" w:hAnsi="Century Gothic"/>
        </w:rPr>
        <w:t>16.</w:t>
      </w:r>
      <w:r>
        <w:rPr>
          <w:rFonts w:ascii="Century Gothic" w:hAnsi="Century Gothic"/>
        </w:rPr>
        <w:tab/>
        <w:t>Derivatives:  In general, the following uses of derivatives are approved for portfolio management purposes, although specific written permission must be granted to each manager on a case-by-case basis in formal written account guidelines.</w:t>
      </w:r>
    </w:p>
    <w:p w:rsidR="00974902" w:rsidRDefault="00974902">
      <w:pPr>
        <w:pStyle w:val="PlainText"/>
        <w:ind w:left="720" w:hanging="720"/>
        <w:jc w:val="both"/>
        <w:rPr>
          <w:rFonts w:ascii="Century Gothic" w:hAnsi="Century Gothic"/>
        </w:rPr>
      </w:pPr>
    </w:p>
    <w:p w:rsidR="00974902" w:rsidRDefault="00AF24A7">
      <w:pPr>
        <w:rPr>
          <w:rFonts w:ascii="Century Gothic" w:eastAsia="Times New Roman" w:hAnsi="Century Gothic" w:cs="Times New Roman"/>
          <w:sz w:val="20"/>
          <w:szCs w:val="20"/>
        </w:rPr>
      </w:pPr>
      <w:r>
        <w:rPr>
          <w:rFonts w:ascii="Century Gothic" w:hAnsi="Century Gothic"/>
        </w:rPr>
        <w:br w:type="page"/>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lastRenderedPageBreak/>
        <w:t>Substitute for physical</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Duration management</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Risk control</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Foreign currency hedging  </w:t>
      </w:r>
    </w:p>
    <w:p w:rsidR="00974902" w:rsidRDefault="00974902">
      <w:pPr>
        <w:pStyle w:val="BodyText"/>
        <w:ind w:left="720"/>
        <w:rPr>
          <w:rFonts w:ascii="Century Gothic" w:hAnsi="Century Gothic"/>
          <w:sz w:val="20"/>
        </w:rPr>
      </w:pPr>
    </w:p>
    <w:p w:rsidR="00974902" w:rsidRDefault="00AF24A7">
      <w:pPr>
        <w:pStyle w:val="BodyText"/>
        <w:ind w:left="720"/>
        <w:rPr>
          <w:rFonts w:ascii="Century Gothic" w:hAnsi="Century Gothic"/>
          <w:sz w:val="20"/>
        </w:rPr>
      </w:pPr>
      <w:r>
        <w:rPr>
          <w:rFonts w:ascii="Century Gothic" w:hAnsi="Century Gothic"/>
          <w:sz w:val="20"/>
        </w:rPr>
        <w:t>Before a derivative security or derivative strategy is used by an investment manager, one or more of the following benefits must be demonstrated to the Board:</w:t>
      </w:r>
    </w:p>
    <w:p w:rsidR="00974902" w:rsidRDefault="00974902">
      <w:pPr>
        <w:numPr>
          <w:ilvl w:val="12"/>
          <w:numId w:val="0"/>
        </w:numPr>
        <w:ind w:left="360"/>
        <w:jc w:val="both"/>
        <w:rPr>
          <w:rFonts w:ascii="Century Gothic" w:hAnsi="Century Gothic"/>
          <w:sz w:val="20"/>
          <w:szCs w:val="20"/>
        </w:rPr>
      </w:pP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Increased liquidity.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Stabilized and enhance portfolio returns.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Lower transaction costs, including market impact costs.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Reduction in the time required to change the mix of the portfolio.</w:t>
      </w:r>
    </w:p>
    <w:p w:rsidR="00974902" w:rsidRDefault="00AF24A7">
      <w:pPr>
        <w:tabs>
          <w:tab w:val="left" w:pos="5700"/>
        </w:tabs>
        <w:jc w:val="both"/>
        <w:rPr>
          <w:rFonts w:ascii="Century Gothic" w:hAnsi="Century Gothic"/>
          <w:sz w:val="20"/>
          <w:szCs w:val="20"/>
        </w:rPr>
      </w:pPr>
      <w:r>
        <w:rPr>
          <w:rFonts w:ascii="Century Gothic" w:hAnsi="Century Gothic"/>
          <w:sz w:val="20"/>
          <w:szCs w:val="20"/>
        </w:rPr>
        <w:tab/>
      </w:r>
    </w:p>
    <w:p w:rsidR="00974902" w:rsidRDefault="00AF24A7">
      <w:pPr>
        <w:pStyle w:val="BodyTextIndent"/>
        <w:rPr>
          <w:rFonts w:ascii="Century Gothic" w:hAnsi="Century Gothic"/>
          <w:color w:val="auto"/>
          <w:sz w:val="20"/>
        </w:rPr>
      </w:pPr>
      <w:r>
        <w:rPr>
          <w:rFonts w:ascii="Century Gothic" w:hAnsi="Century Gothic"/>
          <w:color w:val="auto"/>
          <w:sz w:val="20"/>
        </w:rPr>
        <w:t xml:space="preserve">Before any such derivative strategy is used by an Investment Manager, written permission for such use must be obtained from the Executive Director of the Prepaid Board.  </w:t>
      </w:r>
    </w:p>
    <w:p w:rsidR="00974902" w:rsidRDefault="00974902">
      <w:pPr>
        <w:jc w:val="both"/>
        <w:rPr>
          <w:rFonts w:ascii="Century Gothic" w:hAnsi="Century Gothic"/>
          <w:sz w:val="20"/>
          <w:szCs w:val="20"/>
        </w:rPr>
      </w:pPr>
    </w:p>
    <w:p w:rsidR="00974902" w:rsidRDefault="00AF24A7">
      <w:pPr>
        <w:pStyle w:val="PlainText"/>
        <w:rPr>
          <w:rFonts w:ascii="Century Gothic" w:hAnsi="Century Gothic"/>
          <w:b/>
        </w:rPr>
      </w:pPr>
      <w:r>
        <w:rPr>
          <w:rFonts w:ascii="Century Gothic" w:hAnsi="Century Gothic"/>
          <w:b/>
        </w:rPr>
        <w:t>PROHIBITED INVESTMENT VEHICLES AND GENERAL INVESTMENT RESTRICTIONS</w:t>
      </w:r>
    </w:p>
    <w:p w:rsidR="00974902" w:rsidRDefault="00974902">
      <w:pPr>
        <w:pStyle w:val="PlainText"/>
        <w:rPr>
          <w:rFonts w:ascii="Century Gothic" w:hAnsi="Century Gothic"/>
          <w:b/>
        </w:rPr>
      </w:pPr>
    </w:p>
    <w:p w:rsidR="00974902" w:rsidRDefault="00974902">
      <w:pPr>
        <w:pStyle w:val="PlainText"/>
        <w:ind w:left="720"/>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1.</w:t>
      </w:r>
      <w:r>
        <w:rPr>
          <w:rFonts w:ascii="Century Gothic" w:hAnsi="Century Gothic"/>
        </w:rPr>
        <w:tab/>
        <w:t>Short selling of securities is prohibited</w:t>
      </w:r>
    </w:p>
    <w:p w:rsidR="00974902" w:rsidRDefault="00974902">
      <w:pPr>
        <w:pStyle w:val="PlainText"/>
        <w:jc w:val="both"/>
        <w:rPr>
          <w:rFonts w:ascii="Century Gothic" w:hAnsi="Century Gothic"/>
        </w:rPr>
      </w:pPr>
    </w:p>
    <w:p w:rsidR="00974902" w:rsidRDefault="00AF24A7">
      <w:pPr>
        <w:pStyle w:val="PlainText"/>
        <w:ind w:left="720" w:hanging="720"/>
        <w:jc w:val="both"/>
        <w:rPr>
          <w:rFonts w:ascii="Century Gothic" w:hAnsi="Century Gothic"/>
        </w:rPr>
      </w:pPr>
      <w:r>
        <w:rPr>
          <w:rFonts w:ascii="Century Gothic" w:hAnsi="Century Gothic"/>
        </w:rPr>
        <w:t>2.</w:t>
      </w:r>
      <w:r>
        <w:rPr>
          <w:rFonts w:ascii="Century Gothic" w:hAnsi="Century Gothic"/>
        </w:rPr>
        <w:tab/>
        <w:t xml:space="preserve">Maximum investment in the securities of any issuer, except U.S. Treasury or Agency or repurchase agreements collateralized by U.S. Treasury or Agency securities, is the greater of 5% of the market value of the fund, or 2% greater than the appropriate benchmark weight.  </w:t>
      </w:r>
    </w:p>
    <w:p w:rsidR="00974902" w:rsidRDefault="00974902">
      <w:pPr>
        <w:pStyle w:val="PlainText"/>
        <w:ind w:hanging="360"/>
        <w:jc w:val="both"/>
        <w:rPr>
          <w:rFonts w:ascii="Century Gothic" w:hAnsi="Century Gothic"/>
        </w:rPr>
      </w:pPr>
    </w:p>
    <w:p w:rsidR="00974902" w:rsidRDefault="00AF24A7">
      <w:pPr>
        <w:pStyle w:val="PlainText"/>
        <w:numPr>
          <w:ilvl w:val="0"/>
          <w:numId w:val="77"/>
        </w:numPr>
        <w:ind w:hanging="720"/>
        <w:jc w:val="both"/>
        <w:rPr>
          <w:rFonts w:ascii="Century Gothic" w:hAnsi="Century Gothic"/>
        </w:rPr>
      </w:pPr>
      <w:r>
        <w:rPr>
          <w:rFonts w:ascii="Century Gothic" w:hAnsi="Century Gothic"/>
        </w:rPr>
        <w:t>Debt obligations and preferred stock must be investment grade, as rated by one established nationally recognized rating service.</w:t>
      </w:r>
    </w:p>
    <w:p w:rsidR="00974902" w:rsidRDefault="00974902">
      <w:pPr>
        <w:pStyle w:val="PlainText"/>
        <w:ind w:hanging="360"/>
        <w:jc w:val="both"/>
        <w:rPr>
          <w:rFonts w:ascii="Century Gothic" w:hAnsi="Century Gothic"/>
        </w:rPr>
      </w:pPr>
    </w:p>
    <w:p w:rsidR="00974902" w:rsidRDefault="00AF24A7">
      <w:pPr>
        <w:pStyle w:val="ListParagraph"/>
        <w:numPr>
          <w:ilvl w:val="0"/>
          <w:numId w:val="77"/>
        </w:numPr>
        <w:spacing w:after="0" w:line="240" w:lineRule="auto"/>
        <w:ind w:hanging="720"/>
        <w:contextualSpacing w:val="0"/>
        <w:jc w:val="both"/>
        <w:rPr>
          <w:rFonts w:ascii="Century Gothic" w:hAnsi="Century Gothic"/>
          <w:sz w:val="20"/>
          <w:szCs w:val="20"/>
        </w:rPr>
      </w:pPr>
      <w:r>
        <w:rPr>
          <w:rFonts w:ascii="Century Gothic" w:hAnsi="Century Gothic"/>
          <w:sz w:val="20"/>
          <w:szCs w:val="20"/>
        </w:rPr>
        <w:t>The following derivative strategies and derivative instruments are considered inappropriate and therefore not permitted for use in the managing of assets for the Florida College Savings Program:</w:t>
      </w:r>
    </w:p>
    <w:p w:rsidR="00974902" w:rsidRDefault="00974902">
      <w:pPr>
        <w:numPr>
          <w:ilvl w:val="12"/>
          <w:numId w:val="0"/>
        </w:numPr>
        <w:jc w:val="both"/>
        <w:rPr>
          <w:rFonts w:ascii="Century Gothic" w:hAnsi="Century Gothic"/>
          <w:sz w:val="20"/>
          <w:szCs w:val="20"/>
        </w:rPr>
      </w:pP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Derivatives use for speculative purposes.</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 xml:space="preserve">Derivatives that leverage the account </w:t>
      </w:r>
    </w:p>
    <w:p w:rsidR="00974902" w:rsidRDefault="00AF24A7">
      <w:pPr>
        <w:numPr>
          <w:ilvl w:val="0"/>
          <w:numId w:val="34"/>
        </w:numPr>
        <w:tabs>
          <w:tab w:val="clear" w:pos="360"/>
          <w:tab w:val="num" w:pos="1440"/>
        </w:tabs>
        <w:spacing w:after="0" w:line="240" w:lineRule="auto"/>
        <w:ind w:left="1440"/>
        <w:jc w:val="both"/>
        <w:rPr>
          <w:rFonts w:ascii="Century Gothic" w:hAnsi="Century Gothic"/>
          <w:sz w:val="20"/>
          <w:szCs w:val="20"/>
        </w:rPr>
      </w:pPr>
      <w:r>
        <w:rPr>
          <w:rFonts w:ascii="Century Gothic" w:hAnsi="Century Gothic"/>
          <w:sz w:val="20"/>
          <w:szCs w:val="20"/>
        </w:rPr>
        <w:t>Commodity options, swaps or other derivatives based on commodities.</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INVESTMENT MANAGER SELECTION AND EVALUATION</w:t>
      </w:r>
    </w:p>
    <w:p w:rsidR="00974902" w:rsidRDefault="00974902">
      <w:pPr>
        <w:pStyle w:val="PlainText"/>
        <w:jc w:val="both"/>
        <w:rPr>
          <w:rFonts w:ascii="Century Gothic" w:hAnsi="Century Gothic"/>
        </w:rPr>
      </w:pPr>
    </w:p>
    <w:p w:rsidR="00974902" w:rsidRDefault="00AF24A7">
      <w:pPr>
        <w:tabs>
          <w:tab w:val="left" w:pos="-720"/>
        </w:tabs>
        <w:spacing w:after="0" w:line="240" w:lineRule="auto"/>
        <w:jc w:val="both"/>
        <w:rPr>
          <w:rFonts w:ascii="Century Gothic" w:hAnsi="Century Gothic"/>
          <w:sz w:val="20"/>
          <w:szCs w:val="20"/>
        </w:rPr>
      </w:pPr>
      <w:r>
        <w:rPr>
          <w:rFonts w:ascii="Century Gothic" w:hAnsi="Century Gothic"/>
          <w:sz w:val="20"/>
          <w:szCs w:val="20"/>
        </w:rPr>
        <w:t>Appropriate selection criteria will be used in the process of selecting investment managers/funds.  Though not exhaustive, below is a list of considerations:</w:t>
      </w:r>
    </w:p>
    <w:p w:rsidR="00974902" w:rsidRDefault="00974902">
      <w:pPr>
        <w:tabs>
          <w:tab w:val="left" w:pos="-720"/>
        </w:tabs>
        <w:spacing w:after="0" w:line="240" w:lineRule="auto"/>
        <w:jc w:val="both"/>
        <w:rPr>
          <w:rFonts w:ascii="Century Gothic" w:hAnsi="Century Gothic"/>
          <w:sz w:val="20"/>
          <w:szCs w:val="20"/>
        </w:rPr>
      </w:pPr>
    </w:p>
    <w:p w:rsidR="00974902" w:rsidRDefault="00AF24A7">
      <w:pPr>
        <w:numPr>
          <w:ilvl w:val="0"/>
          <w:numId w:val="63"/>
        </w:numPr>
        <w:tabs>
          <w:tab w:val="left" w:pos="-720"/>
        </w:tabs>
        <w:spacing w:after="0" w:line="240" w:lineRule="auto"/>
        <w:jc w:val="both"/>
        <w:rPr>
          <w:rFonts w:ascii="Century Gothic" w:hAnsi="Century Gothic"/>
          <w:sz w:val="20"/>
          <w:szCs w:val="20"/>
        </w:rPr>
      </w:pPr>
      <w:r>
        <w:rPr>
          <w:rFonts w:ascii="Century Gothic" w:hAnsi="Century Gothic"/>
          <w:sz w:val="20"/>
          <w:szCs w:val="20"/>
        </w:rPr>
        <w:t>Impact on asset class diversification.  The characteristics of the potential investment option(s) relative to the characteristics of the existing options will be evaluated to determine the impact on participants’ ability to diversify within a risk/reward spectrum.</w:t>
      </w:r>
    </w:p>
    <w:p w:rsidR="00974902" w:rsidRDefault="00974902">
      <w:pPr>
        <w:tabs>
          <w:tab w:val="left" w:pos="-720"/>
        </w:tabs>
        <w:jc w:val="both"/>
        <w:rPr>
          <w:rFonts w:ascii="Century Gothic" w:hAnsi="Century Gothic"/>
          <w:sz w:val="20"/>
          <w:szCs w:val="20"/>
        </w:rPr>
      </w:pPr>
    </w:p>
    <w:p w:rsidR="00974902" w:rsidRDefault="00AF24A7">
      <w:pPr>
        <w:numPr>
          <w:ilvl w:val="0"/>
          <w:numId w:val="63"/>
        </w:numPr>
        <w:tabs>
          <w:tab w:val="left" w:pos="-720"/>
        </w:tabs>
        <w:spacing w:after="0" w:line="240" w:lineRule="auto"/>
        <w:jc w:val="both"/>
        <w:rPr>
          <w:rFonts w:ascii="Century Gothic" w:hAnsi="Century Gothic"/>
          <w:sz w:val="20"/>
          <w:szCs w:val="20"/>
        </w:rPr>
      </w:pPr>
      <w:r>
        <w:rPr>
          <w:rFonts w:ascii="Century Gothic" w:hAnsi="Century Gothic"/>
          <w:sz w:val="20"/>
          <w:szCs w:val="20"/>
        </w:rPr>
        <w:t xml:space="preserve">Adherence to designated style. </w:t>
      </w:r>
    </w:p>
    <w:p w:rsidR="00974902" w:rsidRDefault="00974902">
      <w:pPr>
        <w:pStyle w:val="ListParagraph"/>
        <w:rPr>
          <w:rFonts w:ascii="Century Gothic" w:hAnsi="Century Gothic"/>
          <w:sz w:val="20"/>
          <w:szCs w:val="20"/>
        </w:rPr>
      </w:pPr>
    </w:p>
    <w:p w:rsidR="00974902" w:rsidRDefault="00AF24A7">
      <w:pPr>
        <w:numPr>
          <w:ilvl w:val="0"/>
          <w:numId w:val="63"/>
        </w:numPr>
        <w:tabs>
          <w:tab w:val="left" w:pos="-720"/>
        </w:tabs>
        <w:spacing w:after="0" w:line="240" w:lineRule="auto"/>
        <w:jc w:val="both"/>
        <w:rPr>
          <w:rFonts w:ascii="Century Gothic" w:hAnsi="Century Gothic"/>
          <w:sz w:val="20"/>
          <w:szCs w:val="20"/>
        </w:rPr>
      </w:pPr>
      <w:r>
        <w:rPr>
          <w:rFonts w:ascii="Century Gothic" w:hAnsi="Century Gothic"/>
          <w:sz w:val="20"/>
          <w:szCs w:val="20"/>
        </w:rPr>
        <w:t>Reasonable and competitive expense levels.</w:t>
      </w:r>
    </w:p>
    <w:p w:rsidR="00974902" w:rsidRDefault="00974902">
      <w:pPr>
        <w:tabs>
          <w:tab w:val="left" w:pos="-720"/>
        </w:tabs>
        <w:jc w:val="both"/>
        <w:rPr>
          <w:rFonts w:ascii="Century Gothic" w:hAnsi="Century Gothic"/>
          <w:sz w:val="20"/>
          <w:szCs w:val="20"/>
        </w:rPr>
      </w:pPr>
    </w:p>
    <w:p w:rsidR="00974902" w:rsidRDefault="00AF24A7">
      <w:pPr>
        <w:numPr>
          <w:ilvl w:val="0"/>
          <w:numId w:val="63"/>
        </w:numPr>
        <w:tabs>
          <w:tab w:val="left" w:pos="-720"/>
        </w:tabs>
        <w:spacing w:after="0" w:line="240" w:lineRule="auto"/>
        <w:jc w:val="both"/>
        <w:rPr>
          <w:rFonts w:ascii="Century Gothic" w:hAnsi="Century Gothic"/>
          <w:sz w:val="20"/>
          <w:szCs w:val="20"/>
        </w:rPr>
      </w:pPr>
      <w:r>
        <w:rPr>
          <w:rFonts w:ascii="Century Gothic" w:hAnsi="Century Gothic"/>
          <w:sz w:val="20"/>
          <w:szCs w:val="20"/>
        </w:rPr>
        <w:lastRenderedPageBreak/>
        <w:t>Investment performance characteristics. Funds will have a record of performing well compared to peer groups and relevant published market indices. A minimum of a three year performance history is desirable for the assessment of manager skill.</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performance of each investment option will be evaluated in the context of its role in the array of options offered to Program participants. The Board shall evaluate investment performance over a sufficient time horizon, and in the context of the prevailing market environment, in order to properly assess the investment manager’s success or failure. In general, a three to five-year time horizon will be used to evaluate a manager’s attainment of agreed-upon goals. On an interim basis, portfolio risk and investment performance will be monitored continually to ensure that the management of Program assets remains consistent with the style and objective for each investment option.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At a minimum, investment manager reviews will include a quarterly quantitative performance review conducted by the Program’s consultant.  Specific evaluation criteria are stated in the investment guidelines that have been individually prepared for each investment option pursuant to its specific role in the Program.  As necessary, the evaluation may also include an annual site visit to review each portfolio manager's operations.  This portion of the evaluation may be conducted by a member of the Board, the Investment Committee, or Board Staff, as may be designated either by the Board or the Investment Committee.</w:t>
      </w:r>
    </w:p>
    <w:p w:rsidR="00974902" w:rsidRDefault="00974902">
      <w:pPr>
        <w:pStyle w:val="PlainText"/>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REBALANCING</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In order to maintain the level of risk the Board has established for each respective option, the asset class allocation within Option 9 and Option 10 will be monitored monthly</w:t>
      </w:r>
      <w:r>
        <w:rPr>
          <w:rFonts w:ascii="Century Gothic" w:hAnsi="Century Gothic"/>
          <w:u w:val="words"/>
        </w:rPr>
        <w:t xml:space="preserve"> </w:t>
      </w:r>
      <w:r>
        <w:rPr>
          <w:rFonts w:ascii="Century Gothic" w:hAnsi="Century Gothic"/>
        </w:rPr>
        <w:t>and rebalanced to the specified target when the allowable ranges are exceeded.  The portfolio should be brought back into compliance within five business days.  The following ranges will apply:</w:t>
      </w:r>
    </w:p>
    <w:p w:rsidR="00974902" w:rsidRDefault="00974902">
      <w:pPr>
        <w:pStyle w:val="PlainText"/>
        <w:jc w:val="both"/>
        <w:rPr>
          <w:rFonts w:ascii="Century Gothic" w:hAnsi="Century Gothic"/>
        </w:rPr>
      </w:pPr>
    </w:p>
    <w:tbl>
      <w:tblPr>
        <w:tblW w:w="10458" w:type="dxa"/>
        <w:tblLayout w:type="fixed"/>
        <w:tblLook w:val="0000" w:firstRow="0" w:lastRow="0" w:firstColumn="0" w:lastColumn="0" w:noHBand="0" w:noVBand="0"/>
      </w:tblPr>
      <w:tblGrid>
        <w:gridCol w:w="4896"/>
        <w:gridCol w:w="1949"/>
        <w:gridCol w:w="3613"/>
      </w:tblGrid>
      <w:tr w:rsidR="00974902">
        <w:tc>
          <w:tcPr>
            <w:tcW w:w="4896" w:type="dxa"/>
          </w:tcPr>
          <w:p w:rsidR="00974902" w:rsidRDefault="00AF24A7">
            <w:pPr>
              <w:pStyle w:val="PlainText"/>
              <w:rPr>
                <w:rFonts w:ascii="Century Gothic" w:hAnsi="Century Gothic"/>
                <w:u w:val="single"/>
              </w:rPr>
            </w:pPr>
            <w:r>
              <w:rPr>
                <w:rFonts w:ascii="Century Gothic" w:hAnsi="Century Gothic"/>
              </w:rPr>
              <w:br w:type="page"/>
            </w:r>
            <w:r>
              <w:rPr>
                <w:rFonts w:ascii="Century Gothic" w:hAnsi="Century Gothic"/>
                <w:i/>
              </w:rPr>
              <w:br w:type="page"/>
            </w:r>
            <w:r>
              <w:rPr>
                <w:rFonts w:ascii="Century Gothic" w:hAnsi="Century Gothic"/>
                <w:u w:val="single"/>
              </w:rPr>
              <w:t>Option 9</w:t>
            </w:r>
          </w:p>
        </w:tc>
        <w:tc>
          <w:tcPr>
            <w:tcW w:w="1949" w:type="dxa"/>
          </w:tcPr>
          <w:p w:rsidR="00974902" w:rsidRDefault="00AF24A7">
            <w:pPr>
              <w:pStyle w:val="PlainText"/>
              <w:jc w:val="both"/>
              <w:rPr>
                <w:rFonts w:ascii="Century Gothic" w:hAnsi="Century Gothic"/>
                <w:u w:val="single"/>
              </w:rPr>
            </w:pPr>
            <w:r>
              <w:rPr>
                <w:rFonts w:ascii="Century Gothic" w:hAnsi="Century Gothic"/>
                <w:u w:val="single"/>
              </w:rPr>
              <w:t>Targeted Weight</w:t>
            </w:r>
          </w:p>
        </w:tc>
        <w:tc>
          <w:tcPr>
            <w:tcW w:w="3613" w:type="dxa"/>
          </w:tcPr>
          <w:p w:rsidR="00974902" w:rsidRDefault="00AF24A7">
            <w:pPr>
              <w:pStyle w:val="PlainText"/>
              <w:jc w:val="both"/>
              <w:rPr>
                <w:rFonts w:ascii="Century Gothic" w:hAnsi="Century Gothic"/>
                <w:u w:val="single"/>
              </w:rPr>
            </w:pPr>
            <w:r>
              <w:rPr>
                <w:rFonts w:ascii="Century Gothic" w:hAnsi="Century Gothic"/>
                <w:u w:val="single"/>
              </w:rPr>
              <w:t>Allowable Range</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Growth Portfolio</w:t>
            </w:r>
          </w:p>
        </w:tc>
        <w:tc>
          <w:tcPr>
            <w:tcW w:w="1949" w:type="dxa"/>
          </w:tcPr>
          <w:p w:rsidR="00974902" w:rsidRDefault="00AF24A7">
            <w:pPr>
              <w:pStyle w:val="PlainText"/>
              <w:jc w:val="both"/>
              <w:rPr>
                <w:rFonts w:ascii="Century Gothic" w:hAnsi="Century Gothic"/>
                <w:strike/>
              </w:rPr>
            </w:pPr>
            <w:r>
              <w:rPr>
                <w:rFonts w:ascii="Century Gothic" w:hAnsi="Century Gothic"/>
              </w:rPr>
              <w:t>20.00%</w:t>
            </w:r>
          </w:p>
        </w:tc>
        <w:tc>
          <w:tcPr>
            <w:tcW w:w="3613" w:type="dxa"/>
          </w:tcPr>
          <w:p w:rsidR="00974902" w:rsidRDefault="00AF24A7">
            <w:pPr>
              <w:pStyle w:val="PlainText"/>
              <w:jc w:val="both"/>
              <w:rPr>
                <w:rFonts w:ascii="Century Gothic" w:hAnsi="Century Gothic"/>
              </w:rPr>
            </w:pPr>
            <w:r>
              <w:rPr>
                <w:rFonts w:ascii="Century Gothic" w:hAnsi="Century Gothic"/>
              </w:rPr>
              <w:t>17.00% - 23.00%</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Value Portfolio</w:t>
            </w:r>
          </w:p>
        </w:tc>
        <w:tc>
          <w:tcPr>
            <w:tcW w:w="1949" w:type="dxa"/>
          </w:tcPr>
          <w:p w:rsidR="00974902" w:rsidRDefault="00AF24A7">
            <w:pPr>
              <w:pStyle w:val="PlainText"/>
              <w:jc w:val="both"/>
              <w:rPr>
                <w:rFonts w:ascii="Century Gothic" w:hAnsi="Century Gothic"/>
              </w:rPr>
            </w:pPr>
            <w:r>
              <w:rPr>
                <w:rFonts w:ascii="Century Gothic" w:hAnsi="Century Gothic"/>
              </w:rPr>
              <w:t>20.00%</w:t>
            </w:r>
          </w:p>
        </w:tc>
        <w:tc>
          <w:tcPr>
            <w:tcW w:w="3613" w:type="dxa"/>
          </w:tcPr>
          <w:p w:rsidR="00974902" w:rsidRDefault="00AF24A7">
            <w:pPr>
              <w:pStyle w:val="PlainText"/>
              <w:jc w:val="both"/>
              <w:rPr>
                <w:rFonts w:ascii="Century Gothic" w:hAnsi="Century Gothic"/>
              </w:rPr>
            </w:pPr>
            <w:r>
              <w:rPr>
                <w:rFonts w:ascii="Century Gothic" w:hAnsi="Century Gothic"/>
              </w:rPr>
              <w:t>17.00% - 23.00%</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Index Portfolio</w:t>
            </w:r>
          </w:p>
        </w:tc>
        <w:tc>
          <w:tcPr>
            <w:tcW w:w="1949" w:type="dxa"/>
          </w:tcPr>
          <w:p w:rsidR="00974902" w:rsidRDefault="00AF24A7">
            <w:pPr>
              <w:pStyle w:val="PlainText"/>
              <w:jc w:val="both"/>
              <w:rPr>
                <w:rFonts w:ascii="Century Gothic" w:hAnsi="Century Gothic"/>
              </w:rPr>
            </w:pPr>
            <w:r>
              <w:rPr>
                <w:rFonts w:ascii="Century Gothic" w:hAnsi="Century Gothic"/>
              </w:rPr>
              <w:t>20.00%</w:t>
            </w:r>
          </w:p>
        </w:tc>
        <w:tc>
          <w:tcPr>
            <w:tcW w:w="3613" w:type="dxa"/>
          </w:tcPr>
          <w:p w:rsidR="00974902" w:rsidRDefault="00AF24A7">
            <w:pPr>
              <w:pStyle w:val="PlainText"/>
              <w:jc w:val="both"/>
              <w:rPr>
                <w:rFonts w:ascii="Century Gothic" w:hAnsi="Century Gothic"/>
              </w:rPr>
            </w:pPr>
            <w:r>
              <w:rPr>
                <w:rFonts w:ascii="Century Gothic" w:hAnsi="Century Gothic"/>
              </w:rPr>
              <w:t>17.00% - 23.00%</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Mid Cap Portfolio</w:t>
            </w:r>
          </w:p>
          <w:p w:rsidR="00974902" w:rsidRDefault="00AF24A7">
            <w:pPr>
              <w:pStyle w:val="PlainText"/>
              <w:jc w:val="both"/>
              <w:rPr>
                <w:rFonts w:ascii="Century Gothic" w:hAnsi="Century Gothic"/>
              </w:rPr>
            </w:pPr>
            <w:r>
              <w:rPr>
                <w:rFonts w:ascii="Century Gothic" w:hAnsi="Century Gothic"/>
              </w:rPr>
              <w:t>Small Cap Portfolio</w:t>
            </w:r>
          </w:p>
          <w:p w:rsidR="00974902" w:rsidRDefault="00AF24A7">
            <w:pPr>
              <w:pStyle w:val="PlainText"/>
              <w:jc w:val="both"/>
              <w:rPr>
                <w:rFonts w:ascii="Century Gothic" w:hAnsi="Century Gothic"/>
              </w:rPr>
            </w:pPr>
            <w:r>
              <w:rPr>
                <w:rFonts w:ascii="Century Gothic" w:hAnsi="Century Gothic"/>
              </w:rPr>
              <w:t>International Equity Portfolio</w:t>
            </w:r>
          </w:p>
        </w:tc>
        <w:tc>
          <w:tcPr>
            <w:tcW w:w="1949" w:type="dxa"/>
          </w:tcPr>
          <w:p w:rsidR="00974902" w:rsidRDefault="00AF24A7">
            <w:pPr>
              <w:pStyle w:val="PlainText"/>
              <w:jc w:val="both"/>
              <w:rPr>
                <w:rFonts w:ascii="Century Gothic" w:hAnsi="Century Gothic"/>
              </w:rPr>
            </w:pPr>
            <w:r>
              <w:rPr>
                <w:rFonts w:ascii="Century Gothic" w:hAnsi="Century Gothic"/>
              </w:rPr>
              <w:t>10.00%</w:t>
            </w:r>
          </w:p>
          <w:p w:rsidR="00974902" w:rsidRDefault="00AF24A7">
            <w:pPr>
              <w:pStyle w:val="PlainText"/>
              <w:jc w:val="both"/>
              <w:rPr>
                <w:rFonts w:ascii="Century Gothic" w:hAnsi="Century Gothic"/>
              </w:rPr>
            </w:pPr>
            <w:r>
              <w:rPr>
                <w:rFonts w:ascii="Century Gothic" w:hAnsi="Century Gothic"/>
              </w:rPr>
              <w:t>10.00%</w:t>
            </w:r>
          </w:p>
          <w:p w:rsidR="00974902" w:rsidRDefault="00AF24A7">
            <w:pPr>
              <w:pStyle w:val="PlainText"/>
              <w:jc w:val="both"/>
              <w:rPr>
                <w:rFonts w:ascii="Century Gothic" w:hAnsi="Century Gothic"/>
              </w:rPr>
            </w:pPr>
            <w:r>
              <w:rPr>
                <w:rFonts w:ascii="Century Gothic" w:hAnsi="Century Gothic"/>
              </w:rPr>
              <w:t>20.00%</w:t>
            </w:r>
          </w:p>
        </w:tc>
        <w:tc>
          <w:tcPr>
            <w:tcW w:w="3613" w:type="dxa"/>
          </w:tcPr>
          <w:p w:rsidR="00974902" w:rsidRDefault="00AF24A7">
            <w:pPr>
              <w:pStyle w:val="PlainText"/>
              <w:jc w:val="both"/>
              <w:rPr>
                <w:rFonts w:ascii="Century Gothic" w:hAnsi="Century Gothic"/>
              </w:rPr>
            </w:pPr>
            <w:r>
              <w:rPr>
                <w:rFonts w:ascii="Century Gothic" w:hAnsi="Century Gothic"/>
              </w:rPr>
              <w:t>8.00% - 12.00%</w:t>
            </w:r>
          </w:p>
          <w:p w:rsidR="00974902" w:rsidRDefault="00AF24A7">
            <w:pPr>
              <w:pStyle w:val="PlainText"/>
              <w:jc w:val="both"/>
              <w:rPr>
                <w:rFonts w:ascii="Century Gothic" w:hAnsi="Century Gothic"/>
              </w:rPr>
            </w:pPr>
            <w:r>
              <w:rPr>
                <w:rFonts w:ascii="Century Gothic" w:hAnsi="Century Gothic"/>
              </w:rPr>
              <w:t>8.00% - 12.00%</w:t>
            </w:r>
          </w:p>
          <w:p w:rsidR="00974902" w:rsidRDefault="00AF24A7">
            <w:pPr>
              <w:pStyle w:val="PlainText"/>
              <w:jc w:val="both"/>
              <w:rPr>
                <w:rFonts w:ascii="Century Gothic" w:hAnsi="Century Gothic"/>
              </w:rPr>
            </w:pPr>
            <w:r>
              <w:rPr>
                <w:rFonts w:ascii="Century Gothic" w:hAnsi="Century Gothic"/>
              </w:rPr>
              <w:t>17.00% - 23.00%</w:t>
            </w:r>
          </w:p>
        </w:tc>
      </w:tr>
    </w:tbl>
    <w:p w:rsidR="00974902" w:rsidRDefault="00974902">
      <w:pPr>
        <w:pStyle w:val="PlainText"/>
        <w:jc w:val="both"/>
        <w:rPr>
          <w:rFonts w:ascii="Century Gothic" w:hAnsi="Century Gothic"/>
          <w:i/>
        </w:rPr>
      </w:pPr>
    </w:p>
    <w:tbl>
      <w:tblPr>
        <w:tblW w:w="9852" w:type="dxa"/>
        <w:tblLayout w:type="fixed"/>
        <w:tblLook w:val="0000" w:firstRow="0" w:lastRow="0" w:firstColumn="0" w:lastColumn="0" w:noHBand="0" w:noVBand="0"/>
      </w:tblPr>
      <w:tblGrid>
        <w:gridCol w:w="4896"/>
        <w:gridCol w:w="2952"/>
        <w:gridCol w:w="2004"/>
      </w:tblGrid>
      <w:tr w:rsidR="00974902">
        <w:tc>
          <w:tcPr>
            <w:tcW w:w="4896" w:type="dxa"/>
          </w:tcPr>
          <w:p w:rsidR="00974902" w:rsidRDefault="00AF24A7">
            <w:pPr>
              <w:pStyle w:val="PlainText"/>
              <w:jc w:val="both"/>
              <w:rPr>
                <w:rFonts w:ascii="Century Gothic" w:hAnsi="Century Gothic"/>
                <w:u w:val="single"/>
              </w:rPr>
            </w:pPr>
            <w:r>
              <w:rPr>
                <w:rFonts w:ascii="Century Gothic" w:hAnsi="Century Gothic"/>
                <w:u w:val="single"/>
              </w:rPr>
              <w:t>Option 10</w:t>
            </w:r>
          </w:p>
        </w:tc>
        <w:tc>
          <w:tcPr>
            <w:tcW w:w="2952" w:type="dxa"/>
          </w:tcPr>
          <w:p w:rsidR="00974902" w:rsidRDefault="00AF24A7">
            <w:pPr>
              <w:pStyle w:val="PlainText"/>
              <w:jc w:val="both"/>
              <w:rPr>
                <w:rFonts w:ascii="Century Gothic" w:hAnsi="Century Gothic"/>
                <w:u w:val="single"/>
              </w:rPr>
            </w:pPr>
            <w:r>
              <w:rPr>
                <w:rFonts w:ascii="Century Gothic" w:hAnsi="Century Gothic"/>
                <w:u w:val="single"/>
              </w:rPr>
              <w:t>Targeted Weight</w:t>
            </w:r>
          </w:p>
        </w:tc>
        <w:tc>
          <w:tcPr>
            <w:tcW w:w="2004" w:type="dxa"/>
          </w:tcPr>
          <w:p w:rsidR="00974902" w:rsidRDefault="00AF24A7">
            <w:pPr>
              <w:pStyle w:val="PlainText"/>
              <w:jc w:val="both"/>
              <w:rPr>
                <w:rFonts w:ascii="Century Gothic" w:hAnsi="Century Gothic"/>
                <w:u w:val="single"/>
              </w:rPr>
            </w:pPr>
            <w:r>
              <w:rPr>
                <w:rFonts w:ascii="Century Gothic" w:hAnsi="Century Gothic"/>
                <w:u w:val="single"/>
              </w:rPr>
              <w:t>Allowable Range</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Equity Portfolio (Option 9)</w:t>
            </w:r>
          </w:p>
        </w:tc>
        <w:tc>
          <w:tcPr>
            <w:tcW w:w="2952" w:type="dxa"/>
          </w:tcPr>
          <w:p w:rsidR="00974902" w:rsidRDefault="00AF24A7">
            <w:pPr>
              <w:pStyle w:val="PlainText"/>
              <w:jc w:val="both"/>
              <w:rPr>
                <w:rFonts w:ascii="Century Gothic" w:hAnsi="Century Gothic"/>
              </w:rPr>
            </w:pPr>
            <w:r>
              <w:rPr>
                <w:rFonts w:ascii="Century Gothic" w:hAnsi="Century Gothic"/>
              </w:rPr>
              <w:t>50%</w:t>
            </w:r>
          </w:p>
        </w:tc>
        <w:tc>
          <w:tcPr>
            <w:tcW w:w="2004" w:type="dxa"/>
          </w:tcPr>
          <w:p w:rsidR="00974902" w:rsidRDefault="00AF24A7">
            <w:pPr>
              <w:pStyle w:val="PlainText"/>
              <w:jc w:val="both"/>
              <w:rPr>
                <w:rFonts w:ascii="Century Gothic" w:hAnsi="Century Gothic"/>
              </w:rPr>
            </w:pPr>
            <w:r>
              <w:rPr>
                <w:rFonts w:ascii="Century Gothic" w:hAnsi="Century Gothic"/>
              </w:rPr>
              <w:t>48 – 52%</w:t>
            </w:r>
          </w:p>
        </w:tc>
      </w:tr>
      <w:tr w:rsidR="00974902">
        <w:tc>
          <w:tcPr>
            <w:tcW w:w="4896" w:type="dxa"/>
          </w:tcPr>
          <w:p w:rsidR="00974902" w:rsidRDefault="00AF24A7">
            <w:pPr>
              <w:pStyle w:val="PlainText"/>
              <w:jc w:val="both"/>
              <w:rPr>
                <w:rFonts w:ascii="Century Gothic" w:hAnsi="Century Gothic"/>
              </w:rPr>
            </w:pPr>
            <w:r>
              <w:rPr>
                <w:rFonts w:ascii="Century Gothic" w:hAnsi="Century Gothic"/>
              </w:rPr>
              <w:t>Fixed Income Portfolio (Option 7)</w:t>
            </w:r>
          </w:p>
        </w:tc>
        <w:tc>
          <w:tcPr>
            <w:tcW w:w="2952" w:type="dxa"/>
          </w:tcPr>
          <w:p w:rsidR="00974902" w:rsidRDefault="00AF24A7">
            <w:pPr>
              <w:pStyle w:val="PlainText"/>
              <w:jc w:val="both"/>
              <w:rPr>
                <w:rFonts w:ascii="Century Gothic" w:hAnsi="Century Gothic"/>
              </w:rPr>
            </w:pPr>
            <w:r>
              <w:rPr>
                <w:rFonts w:ascii="Century Gothic" w:hAnsi="Century Gothic"/>
              </w:rPr>
              <w:t>50%</w:t>
            </w:r>
          </w:p>
        </w:tc>
        <w:tc>
          <w:tcPr>
            <w:tcW w:w="2004" w:type="dxa"/>
          </w:tcPr>
          <w:p w:rsidR="00974902" w:rsidRDefault="00AF24A7">
            <w:pPr>
              <w:pStyle w:val="PlainText"/>
              <w:jc w:val="both"/>
              <w:rPr>
                <w:rFonts w:ascii="Century Gothic" w:hAnsi="Century Gothic"/>
              </w:rPr>
            </w:pPr>
            <w:r>
              <w:rPr>
                <w:rFonts w:ascii="Century Gothic" w:hAnsi="Century Gothic"/>
              </w:rPr>
              <w:t>48 – 52%</w:t>
            </w:r>
          </w:p>
        </w:tc>
      </w:tr>
    </w:tbl>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In addition, portfolio balances within Option 11 will require rebalancing both with respect to the equity / fixed income mix within each age bracket and with respect to the targeted mix as a beneficiary moves from one age bracket to the next.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following ranges will apply to each of the age brackets within Option 11:</w:t>
      </w:r>
    </w:p>
    <w:p w:rsidR="00974902" w:rsidRDefault="00974902">
      <w:pPr>
        <w:pStyle w:val="PlainText"/>
        <w:rPr>
          <w:rFonts w:ascii="Century Gothic" w:hAnsi="Century Gothic"/>
        </w:rPr>
      </w:pPr>
    </w:p>
    <w:tbl>
      <w:tblPr>
        <w:tblW w:w="0" w:type="auto"/>
        <w:tblLook w:val="0000" w:firstRow="0" w:lastRow="0" w:firstColumn="0" w:lastColumn="0" w:noHBand="0" w:noVBand="0"/>
      </w:tblPr>
      <w:tblGrid>
        <w:gridCol w:w="1818"/>
        <w:gridCol w:w="1890"/>
        <w:gridCol w:w="1260"/>
        <w:gridCol w:w="1513"/>
        <w:gridCol w:w="1735"/>
        <w:gridCol w:w="1602"/>
      </w:tblGrid>
      <w:tr w:rsidR="00974902">
        <w:tc>
          <w:tcPr>
            <w:tcW w:w="1818" w:type="dxa"/>
            <w:vAlign w:val="bottom"/>
          </w:tcPr>
          <w:p w:rsidR="00974902" w:rsidRDefault="00AF24A7">
            <w:pPr>
              <w:pStyle w:val="PlainText"/>
              <w:rPr>
                <w:rFonts w:ascii="Century Gothic" w:hAnsi="Century Gothic"/>
                <w:u w:val="single"/>
              </w:rPr>
            </w:pPr>
            <w:r>
              <w:rPr>
                <w:rFonts w:ascii="Century Gothic" w:hAnsi="Century Gothic"/>
                <w:u w:val="single"/>
              </w:rPr>
              <w:t>Age Bracket</w:t>
            </w:r>
          </w:p>
        </w:tc>
        <w:tc>
          <w:tcPr>
            <w:tcW w:w="1890" w:type="dxa"/>
            <w:vAlign w:val="bottom"/>
          </w:tcPr>
          <w:p w:rsidR="00974902" w:rsidRDefault="00AF24A7">
            <w:pPr>
              <w:pStyle w:val="PlainText"/>
              <w:jc w:val="center"/>
              <w:rPr>
                <w:rFonts w:ascii="Century Gothic" w:hAnsi="Century Gothic"/>
                <w:u w:val="single"/>
              </w:rPr>
            </w:pPr>
            <w:r>
              <w:rPr>
                <w:rFonts w:ascii="Century Gothic" w:hAnsi="Century Gothic"/>
                <w:u w:val="single"/>
              </w:rPr>
              <w:t>Years to Enrollment</w:t>
            </w:r>
          </w:p>
        </w:tc>
        <w:tc>
          <w:tcPr>
            <w:tcW w:w="1260" w:type="dxa"/>
            <w:vAlign w:val="center"/>
          </w:tcPr>
          <w:p w:rsidR="00974902" w:rsidRDefault="00AF24A7">
            <w:pPr>
              <w:pStyle w:val="PlainText"/>
              <w:jc w:val="center"/>
              <w:rPr>
                <w:rFonts w:ascii="Century Gothic" w:hAnsi="Century Gothic"/>
                <w:u w:val="single"/>
              </w:rPr>
            </w:pPr>
            <w:r>
              <w:rPr>
                <w:rFonts w:ascii="Century Gothic" w:hAnsi="Century Gothic"/>
                <w:u w:val="single"/>
              </w:rPr>
              <w:t xml:space="preserve">Targeted </w:t>
            </w:r>
          </w:p>
          <w:p w:rsidR="00974902" w:rsidRDefault="00AF24A7">
            <w:pPr>
              <w:pStyle w:val="PlainText"/>
              <w:jc w:val="center"/>
              <w:rPr>
                <w:rFonts w:ascii="Century Gothic" w:hAnsi="Century Gothic"/>
                <w:u w:val="single"/>
              </w:rPr>
            </w:pPr>
            <w:r>
              <w:rPr>
                <w:rFonts w:ascii="Century Gothic" w:hAnsi="Century Gothic"/>
                <w:u w:val="single"/>
              </w:rPr>
              <w:t xml:space="preserve">Equity </w:t>
            </w:r>
          </w:p>
          <w:p w:rsidR="00974902" w:rsidRDefault="00AF24A7">
            <w:pPr>
              <w:pStyle w:val="PlainText"/>
              <w:jc w:val="center"/>
              <w:rPr>
                <w:rFonts w:ascii="Century Gothic" w:hAnsi="Century Gothic"/>
                <w:u w:val="single"/>
              </w:rPr>
            </w:pPr>
            <w:r>
              <w:rPr>
                <w:rFonts w:ascii="Century Gothic" w:hAnsi="Century Gothic"/>
                <w:u w:val="single"/>
              </w:rPr>
              <w:t>Allocation</w:t>
            </w:r>
          </w:p>
        </w:tc>
        <w:tc>
          <w:tcPr>
            <w:tcW w:w="1513" w:type="dxa"/>
            <w:vAlign w:val="center"/>
          </w:tcPr>
          <w:p w:rsidR="00974902" w:rsidRDefault="00AF24A7">
            <w:pPr>
              <w:pStyle w:val="PlainText"/>
              <w:jc w:val="center"/>
              <w:rPr>
                <w:rFonts w:ascii="Century Gothic" w:hAnsi="Century Gothic"/>
                <w:u w:val="single"/>
              </w:rPr>
            </w:pPr>
            <w:r>
              <w:rPr>
                <w:rFonts w:ascii="Century Gothic" w:hAnsi="Century Gothic"/>
                <w:u w:val="single"/>
              </w:rPr>
              <w:t xml:space="preserve">Allowable </w:t>
            </w:r>
          </w:p>
          <w:p w:rsidR="00974902" w:rsidRDefault="00AF24A7">
            <w:pPr>
              <w:pStyle w:val="PlainText"/>
              <w:jc w:val="center"/>
              <w:rPr>
                <w:rFonts w:ascii="Century Gothic" w:hAnsi="Century Gothic"/>
                <w:u w:val="single"/>
              </w:rPr>
            </w:pPr>
            <w:r>
              <w:rPr>
                <w:rFonts w:ascii="Century Gothic" w:hAnsi="Century Gothic"/>
                <w:u w:val="single"/>
              </w:rPr>
              <w:t xml:space="preserve">Equity </w:t>
            </w:r>
          </w:p>
          <w:p w:rsidR="00974902" w:rsidRDefault="00AF24A7">
            <w:pPr>
              <w:pStyle w:val="PlainText"/>
              <w:jc w:val="center"/>
              <w:rPr>
                <w:rFonts w:ascii="Century Gothic" w:hAnsi="Century Gothic"/>
                <w:u w:val="single"/>
              </w:rPr>
            </w:pPr>
            <w:r>
              <w:rPr>
                <w:rFonts w:ascii="Century Gothic" w:hAnsi="Century Gothic"/>
                <w:u w:val="single"/>
              </w:rPr>
              <w:t>Range</w:t>
            </w:r>
          </w:p>
        </w:tc>
        <w:tc>
          <w:tcPr>
            <w:tcW w:w="1735" w:type="dxa"/>
            <w:vAlign w:val="center"/>
          </w:tcPr>
          <w:p w:rsidR="00974902" w:rsidRDefault="00AF24A7">
            <w:pPr>
              <w:pStyle w:val="PlainText"/>
              <w:jc w:val="center"/>
              <w:rPr>
                <w:rFonts w:ascii="Century Gothic" w:hAnsi="Century Gothic"/>
                <w:u w:val="single"/>
              </w:rPr>
            </w:pPr>
            <w:r>
              <w:rPr>
                <w:rFonts w:ascii="Century Gothic" w:hAnsi="Century Gothic"/>
                <w:u w:val="single"/>
              </w:rPr>
              <w:t xml:space="preserve">Targeted </w:t>
            </w:r>
          </w:p>
          <w:p w:rsidR="00974902" w:rsidRDefault="00AF24A7">
            <w:pPr>
              <w:pStyle w:val="PlainText"/>
              <w:jc w:val="center"/>
              <w:rPr>
                <w:rFonts w:ascii="Century Gothic" w:hAnsi="Century Gothic"/>
                <w:u w:val="single"/>
              </w:rPr>
            </w:pPr>
            <w:r>
              <w:rPr>
                <w:rFonts w:ascii="Century Gothic" w:hAnsi="Century Gothic"/>
                <w:u w:val="single"/>
              </w:rPr>
              <w:t>Fixed Income Allocation</w:t>
            </w:r>
          </w:p>
        </w:tc>
        <w:tc>
          <w:tcPr>
            <w:tcW w:w="1602" w:type="dxa"/>
            <w:vAlign w:val="center"/>
          </w:tcPr>
          <w:p w:rsidR="00974902" w:rsidRDefault="00AF24A7">
            <w:pPr>
              <w:pStyle w:val="PlainText"/>
              <w:jc w:val="center"/>
              <w:rPr>
                <w:rFonts w:ascii="Century Gothic" w:hAnsi="Century Gothic"/>
                <w:u w:val="single"/>
              </w:rPr>
            </w:pPr>
            <w:r>
              <w:rPr>
                <w:rFonts w:ascii="Century Gothic" w:hAnsi="Century Gothic"/>
                <w:u w:val="single"/>
              </w:rPr>
              <w:t xml:space="preserve">Allowable </w:t>
            </w:r>
          </w:p>
          <w:p w:rsidR="00974902" w:rsidRDefault="00AF24A7">
            <w:pPr>
              <w:pStyle w:val="PlainText"/>
              <w:jc w:val="center"/>
              <w:rPr>
                <w:rFonts w:ascii="Century Gothic" w:hAnsi="Century Gothic"/>
                <w:u w:val="single"/>
              </w:rPr>
            </w:pPr>
            <w:r>
              <w:rPr>
                <w:rFonts w:ascii="Century Gothic" w:hAnsi="Century Gothic"/>
                <w:u w:val="single"/>
              </w:rPr>
              <w:t>Fixed Income Range</w:t>
            </w:r>
          </w:p>
        </w:tc>
      </w:tr>
      <w:tr w:rsidR="00974902">
        <w:tc>
          <w:tcPr>
            <w:tcW w:w="1818" w:type="dxa"/>
          </w:tcPr>
          <w:p w:rsidR="00974902" w:rsidRDefault="00AF24A7">
            <w:pPr>
              <w:pStyle w:val="PlainText"/>
              <w:rPr>
                <w:rFonts w:ascii="Century Gothic" w:hAnsi="Century Gothic"/>
              </w:rPr>
            </w:pPr>
            <w:r>
              <w:rPr>
                <w:rFonts w:ascii="Century Gothic" w:hAnsi="Century Gothic"/>
              </w:rPr>
              <w:t>0 – 4 years</w:t>
            </w:r>
          </w:p>
        </w:tc>
        <w:tc>
          <w:tcPr>
            <w:tcW w:w="1890" w:type="dxa"/>
          </w:tcPr>
          <w:p w:rsidR="00974902" w:rsidRDefault="00AF24A7">
            <w:pPr>
              <w:pStyle w:val="PlainText"/>
              <w:jc w:val="center"/>
              <w:rPr>
                <w:rFonts w:ascii="Century Gothic" w:hAnsi="Century Gothic"/>
              </w:rPr>
            </w:pPr>
            <w:r>
              <w:rPr>
                <w:rFonts w:ascii="Century Gothic" w:hAnsi="Century Gothic"/>
              </w:rPr>
              <w:t>14 or more years</w:t>
            </w:r>
          </w:p>
        </w:tc>
        <w:tc>
          <w:tcPr>
            <w:tcW w:w="1260" w:type="dxa"/>
            <w:vAlign w:val="center"/>
          </w:tcPr>
          <w:p w:rsidR="00974902" w:rsidRDefault="00AF24A7">
            <w:pPr>
              <w:pStyle w:val="PlainText"/>
              <w:jc w:val="center"/>
              <w:rPr>
                <w:rFonts w:ascii="Century Gothic" w:hAnsi="Century Gothic"/>
              </w:rPr>
            </w:pPr>
            <w:r>
              <w:rPr>
                <w:rFonts w:ascii="Century Gothic" w:hAnsi="Century Gothic"/>
              </w:rPr>
              <w:t>100%</w:t>
            </w:r>
          </w:p>
        </w:tc>
        <w:tc>
          <w:tcPr>
            <w:tcW w:w="1513" w:type="dxa"/>
            <w:vAlign w:val="center"/>
          </w:tcPr>
          <w:p w:rsidR="00974902" w:rsidRDefault="00AF24A7">
            <w:pPr>
              <w:pStyle w:val="PlainText"/>
              <w:jc w:val="center"/>
              <w:rPr>
                <w:rFonts w:ascii="Century Gothic" w:hAnsi="Century Gothic"/>
              </w:rPr>
            </w:pPr>
            <w:r>
              <w:rPr>
                <w:rFonts w:ascii="Century Gothic" w:hAnsi="Century Gothic"/>
              </w:rPr>
              <w:t>98 - 100%</w:t>
            </w:r>
          </w:p>
        </w:tc>
        <w:tc>
          <w:tcPr>
            <w:tcW w:w="1735" w:type="dxa"/>
            <w:vAlign w:val="center"/>
          </w:tcPr>
          <w:p w:rsidR="00974902" w:rsidRDefault="00AF24A7">
            <w:pPr>
              <w:pStyle w:val="PlainText"/>
              <w:jc w:val="center"/>
              <w:rPr>
                <w:rFonts w:ascii="Century Gothic" w:hAnsi="Century Gothic"/>
              </w:rPr>
            </w:pPr>
            <w:r>
              <w:rPr>
                <w:rFonts w:ascii="Century Gothic" w:hAnsi="Century Gothic"/>
              </w:rPr>
              <w:t>0%</w:t>
            </w:r>
          </w:p>
        </w:tc>
        <w:tc>
          <w:tcPr>
            <w:tcW w:w="1602" w:type="dxa"/>
            <w:vAlign w:val="center"/>
          </w:tcPr>
          <w:p w:rsidR="00974902" w:rsidRDefault="00AF24A7">
            <w:pPr>
              <w:pStyle w:val="PlainText"/>
              <w:jc w:val="center"/>
              <w:rPr>
                <w:rFonts w:ascii="Century Gothic" w:hAnsi="Century Gothic"/>
              </w:rPr>
            </w:pPr>
            <w:r>
              <w:rPr>
                <w:rFonts w:ascii="Century Gothic" w:hAnsi="Century Gothic"/>
              </w:rPr>
              <w:t>0 – 2%</w:t>
            </w:r>
          </w:p>
        </w:tc>
      </w:tr>
      <w:tr w:rsidR="00974902">
        <w:tc>
          <w:tcPr>
            <w:tcW w:w="1818" w:type="dxa"/>
            <w:vAlign w:val="center"/>
          </w:tcPr>
          <w:p w:rsidR="00974902" w:rsidRDefault="00AF24A7">
            <w:pPr>
              <w:pStyle w:val="PlainText"/>
              <w:rPr>
                <w:rFonts w:ascii="Century Gothic" w:hAnsi="Century Gothic"/>
              </w:rPr>
            </w:pPr>
            <w:r>
              <w:rPr>
                <w:rFonts w:ascii="Century Gothic" w:hAnsi="Century Gothic"/>
              </w:rPr>
              <w:t>5 – 8 years</w:t>
            </w:r>
          </w:p>
        </w:tc>
        <w:tc>
          <w:tcPr>
            <w:tcW w:w="1890" w:type="dxa"/>
          </w:tcPr>
          <w:p w:rsidR="00974902" w:rsidRDefault="00AF24A7">
            <w:pPr>
              <w:pStyle w:val="PlainText"/>
              <w:jc w:val="center"/>
              <w:rPr>
                <w:rFonts w:ascii="Century Gothic" w:hAnsi="Century Gothic"/>
              </w:rPr>
            </w:pPr>
            <w:r>
              <w:rPr>
                <w:rFonts w:ascii="Century Gothic" w:hAnsi="Century Gothic"/>
              </w:rPr>
              <w:t>10 – 13 years</w:t>
            </w:r>
          </w:p>
        </w:tc>
        <w:tc>
          <w:tcPr>
            <w:tcW w:w="1260" w:type="dxa"/>
            <w:vAlign w:val="center"/>
          </w:tcPr>
          <w:p w:rsidR="00974902" w:rsidRDefault="00AF24A7">
            <w:pPr>
              <w:pStyle w:val="PlainText"/>
              <w:jc w:val="center"/>
              <w:rPr>
                <w:rFonts w:ascii="Century Gothic" w:hAnsi="Century Gothic"/>
              </w:rPr>
            </w:pPr>
            <w:r>
              <w:rPr>
                <w:rFonts w:ascii="Century Gothic" w:hAnsi="Century Gothic"/>
              </w:rPr>
              <w:t>75%</w:t>
            </w:r>
          </w:p>
        </w:tc>
        <w:tc>
          <w:tcPr>
            <w:tcW w:w="1513" w:type="dxa"/>
            <w:vAlign w:val="center"/>
          </w:tcPr>
          <w:p w:rsidR="00974902" w:rsidRDefault="00AF24A7">
            <w:pPr>
              <w:pStyle w:val="PlainText"/>
              <w:jc w:val="center"/>
              <w:rPr>
                <w:rFonts w:ascii="Century Gothic" w:hAnsi="Century Gothic"/>
              </w:rPr>
            </w:pPr>
            <w:r>
              <w:rPr>
                <w:rFonts w:ascii="Century Gothic" w:hAnsi="Century Gothic"/>
              </w:rPr>
              <w:t>73 – 77%</w:t>
            </w:r>
          </w:p>
        </w:tc>
        <w:tc>
          <w:tcPr>
            <w:tcW w:w="1735" w:type="dxa"/>
            <w:vAlign w:val="center"/>
          </w:tcPr>
          <w:p w:rsidR="00974902" w:rsidRDefault="00AF24A7">
            <w:pPr>
              <w:pStyle w:val="PlainText"/>
              <w:jc w:val="center"/>
              <w:rPr>
                <w:rFonts w:ascii="Century Gothic" w:hAnsi="Century Gothic"/>
              </w:rPr>
            </w:pPr>
            <w:r>
              <w:rPr>
                <w:rFonts w:ascii="Century Gothic" w:hAnsi="Century Gothic"/>
              </w:rPr>
              <w:t>25%</w:t>
            </w:r>
          </w:p>
        </w:tc>
        <w:tc>
          <w:tcPr>
            <w:tcW w:w="1602" w:type="dxa"/>
            <w:vAlign w:val="center"/>
          </w:tcPr>
          <w:p w:rsidR="00974902" w:rsidRDefault="00AF24A7">
            <w:pPr>
              <w:pStyle w:val="PlainText"/>
              <w:jc w:val="center"/>
              <w:rPr>
                <w:rFonts w:ascii="Century Gothic" w:hAnsi="Century Gothic"/>
              </w:rPr>
            </w:pPr>
            <w:r>
              <w:rPr>
                <w:rFonts w:ascii="Century Gothic" w:hAnsi="Century Gothic"/>
              </w:rPr>
              <w:t>23 – 27%</w:t>
            </w:r>
          </w:p>
        </w:tc>
      </w:tr>
      <w:tr w:rsidR="00974902">
        <w:tc>
          <w:tcPr>
            <w:tcW w:w="1818" w:type="dxa"/>
            <w:vAlign w:val="center"/>
          </w:tcPr>
          <w:p w:rsidR="00974902" w:rsidRDefault="00AF24A7">
            <w:pPr>
              <w:pStyle w:val="PlainText"/>
              <w:rPr>
                <w:rFonts w:ascii="Century Gothic" w:hAnsi="Century Gothic"/>
              </w:rPr>
            </w:pPr>
            <w:r>
              <w:rPr>
                <w:rFonts w:ascii="Century Gothic" w:hAnsi="Century Gothic"/>
              </w:rPr>
              <w:t>9 – 12 years</w:t>
            </w:r>
          </w:p>
        </w:tc>
        <w:tc>
          <w:tcPr>
            <w:tcW w:w="1890" w:type="dxa"/>
          </w:tcPr>
          <w:p w:rsidR="00974902" w:rsidRDefault="00AF24A7">
            <w:pPr>
              <w:pStyle w:val="PlainText"/>
              <w:jc w:val="center"/>
              <w:rPr>
                <w:rFonts w:ascii="Century Gothic" w:hAnsi="Century Gothic"/>
              </w:rPr>
            </w:pPr>
            <w:r>
              <w:rPr>
                <w:rFonts w:ascii="Century Gothic" w:hAnsi="Century Gothic"/>
              </w:rPr>
              <w:t>6 – 9 years</w:t>
            </w:r>
          </w:p>
        </w:tc>
        <w:tc>
          <w:tcPr>
            <w:tcW w:w="1260" w:type="dxa"/>
            <w:vAlign w:val="center"/>
          </w:tcPr>
          <w:p w:rsidR="00974902" w:rsidRDefault="00AF24A7">
            <w:pPr>
              <w:pStyle w:val="PlainText"/>
              <w:jc w:val="center"/>
              <w:rPr>
                <w:rFonts w:ascii="Century Gothic" w:hAnsi="Century Gothic"/>
              </w:rPr>
            </w:pPr>
            <w:r>
              <w:rPr>
                <w:rFonts w:ascii="Century Gothic" w:hAnsi="Century Gothic"/>
              </w:rPr>
              <w:t>50%</w:t>
            </w:r>
          </w:p>
        </w:tc>
        <w:tc>
          <w:tcPr>
            <w:tcW w:w="1513" w:type="dxa"/>
            <w:vAlign w:val="center"/>
          </w:tcPr>
          <w:p w:rsidR="00974902" w:rsidRDefault="00AF24A7">
            <w:pPr>
              <w:pStyle w:val="PlainText"/>
              <w:jc w:val="center"/>
              <w:rPr>
                <w:rFonts w:ascii="Century Gothic" w:hAnsi="Century Gothic"/>
              </w:rPr>
            </w:pPr>
            <w:r>
              <w:rPr>
                <w:rFonts w:ascii="Century Gothic" w:hAnsi="Century Gothic"/>
              </w:rPr>
              <w:t>48 – 52%</w:t>
            </w:r>
          </w:p>
        </w:tc>
        <w:tc>
          <w:tcPr>
            <w:tcW w:w="1735" w:type="dxa"/>
            <w:vAlign w:val="center"/>
          </w:tcPr>
          <w:p w:rsidR="00974902" w:rsidRDefault="00AF24A7">
            <w:pPr>
              <w:pStyle w:val="PlainText"/>
              <w:jc w:val="center"/>
              <w:rPr>
                <w:rFonts w:ascii="Century Gothic" w:hAnsi="Century Gothic"/>
              </w:rPr>
            </w:pPr>
            <w:r>
              <w:rPr>
                <w:rFonts w:ascii="Century Gothic" w:hAnsi="Century Gothic"/>
              </w:rPr>
              <w:t>50%</w:t>
            </w:r>
          </w:p>
        </w:tc>
        <w:tc>
          <w:tcPr>
            <w:tcW w:w="1602" w:type="dxa"/>
            <w:vAlign w:val="center"/>
          </w:tcPr>
          <w:p w:rsidR="00974902" w:rsidRDefault="00AF24A7">
            <w:pPr>
              <w:pStyle w:val="PlainText"/>
              <w:jc w:val="center"/>
              <w:rPr>
                <w:rFonts w:ascii="Century Gothic" w:hAnsi="Century Gothic"/>
              </w:rPr>
            </w:pPr>
            <w:r>
              <w:rPr>
                <w:rFonts w:ascii="Century Gothic" w:hAnsi="Century Gothic"/>
              </w:rPr>
              <w:t>48 – 52%</w:t>
            </w:r>
          </w:p>
        </w:tc>
      </w:tr>
      <w:tr w:rsidR="00974902">
        <w:tc>
          <w:tcPr>
            <w:tcW w:w="1818" w:type="dxa"/>
            <w:vAlign w:val="center"/>
          </w:tcPr>
          <w:p w:rsidR="00974902" w:rsidRDefault="00AF24A7">
            <w:pPr>
              <w:pStyle w:val="PlainText"/>
              <w:rPr>
                <w:rFonts w:ascii="Century Gothic" w:hAnsi="Century Gothic"/>
              </w:rPr>
            </w:pPr>
            <w:r>
              <w:rPr>
                <w:rFonts w:ascii="Century Gothic" w:hAnsi="Century Gothic"/>
              </w:rPr>
              <w:t>13 – 15 Years</w:t>
            </w:r>
          </w:p>
        </w:tc>
        <w:tc>
          <w:tcPr>
            <w:tcW w:w="1890" w:type="dxa"/>
          </w:tcPr>
          <w:p w:rsidR="00974902" w:rsidRDefault="00AF24A7">
            <w:pPr>
              <w:pStyle w:val="PlainText"/>
              <w:jc w:val="center"/>
              <w:rPr>
                <w:rFonts w:ascii="Century Gothic" w:hAnsi="Century Gothic"/>
              </w:rPr>
            </w:pPr>
            <w:r>
              <w:rPr>
                <w:rFonts w:ascii="Century Gothic" w:hAnsi="Century Gothic"/>
              </w:rPr>
              <w:t>3 – 5 years</w:t>
            </w:r>
          </w:p>
        </w:tc>
        <w:tc>
          <w:tcPr>
            <w:tcW w:w="1260" w:type="dxa"/>
            <w:vAlign w:val="center"/>
          </w:tcPr>
          <w:p w:rsidR="00974902" w:rsidRDefault="00AF24A7">
            <w:pPr>
              <w:pStyle w:val="PlainText"/>
              <w:jc w:val="center"/>
              <w:rPr>
                <w:rFonts w:ascii="Century Gothic" w:hAnsi="Century Gothic"/>
              </w:rPr>
            </w:pPr>
            <w:r>
              <w:rPr>
                <w:rFonts w:ascii="Century Gothic" w:hAnsi="Century Gothic"/>
              </w:rPr>
              <w:t>25%</w:t>
            </w:r>
          </w:p>
        </w:tc>
        <w:tc>
          <w:tcPr>
            <w:tcW w:w="1513" w:type="dxa"/>
            <w:vAlign w:val="center"/>
          </w:tcPr>
          <w:p w:rsidR="00974902" w:rsidRDefault="00AF24A7">
            <w:pPr>
              <w:pStyle w:val="PlainText"/>
              <w:jc w:val="center"/>
              <w:rPr>
                <w:rFonts w:ascii="Century Gothic" w:hAnsi="Century Gothic"/>
              </w:rPr>
            </w:pPr>
            <w:r>
              <w:rPr>
                <w:rFonts w:ascii="Century Gothic" w:hAnsi="Century Gothic"/>
              </w:rPr>
              <w:t>23 – 27%</w:t>
            </w:r>
          </w:p>
        </w:tc>
        <w:tc>
          <w:tcPr>
            <w:tcW w:w="1735" w:type="dxa"/>
            <w:vAlign w:val="center"/>
          </w:tcPr>
          <w:p w:rsidR="00974902" w:rsidRDefault="00AF24A7">
            <w:pPr>
              <w:pStyle w:val="PlainText"/>
              <w:jc w:val="center"/>
              <w:rPr>
                <w:rFonts w:ascii="Century Gothic" w:hAnsi="Century Gothic"/>
              </w:rPr>
            </w:pPr>
            <w:r>
              <w:rPr>
                <w:rFonts w:ascii="Century Gothic" w:hAnsi="Century Gothic"/>
              </w:rPr>
              <w:t>75 %</w:t>
            </w:r>
          </w:p>
        </w:tc>
        <w:tc>
          <w:tcPr>
            <w:tcW w:w="1602" w:type="dxa"/>
            <w:vAlign w:val="center"/>
          </w:tcPr>
          <w:p w:rsidR="00974902" w:rsidRDefault="00AF24A7">
            <w:pPr>
              <w:pStyle w:val="PlainText"/>
              <w:jc w:val="center"/>
              <w:rPr>
                <w:rFonts w:ascii="Century Gothic" w:hAnsi="Century Gothic"/>
              </w:rPr>
            </w:pPr>
            <w:r>
              <w:rPr>
                <w:rFonts w:ascii="Century Gothic" w:hAnsi="Century Gothic"/>
              </w:rPr>
              <w:t>73 – 77 %</w:t>
            </w:r>
          </w:p>
        </w:tc>
      </w:tr>
      <w:tr w:rsidR="00974902">
        <w:tc>
          <w:tcPr>
            <w:tcW w:w="1818" w:type="dxa"/>
            <w:vAlign w:val="center"/>
          </w:tcPr>
          <w:p w:rsidR="00974902" w:rsidRDefault="00AF24A7">
            <w:pPr>
              <w:pStyle w:val="PlainText"/>
              <w:rPr>
                <w:rFonts w:ascii="Century Gothic" w:hAnsi="Century Gothic"/>
              </w:rPr>
            </w:pPr>
            <w:r>
              <w:rPr>
                <w:rFonts w:ascii="Century Gothic" w:hAnsi="Century Gothic"/>
              </w:rPr>
              <w:t>Age 16 &amp; above</w:t>
            </w:r>
          </w:p>
        </w:tc>
        <w:tc>
          <w:tcPr>
            <w:tcW w:w="1890" w:type="dxa"/>
          </w:tcPr>
          <w:p w:rsidR="00974902" w:rsidRDefault="00AF24A7">
            <w:pPr>
              <w:pStyle w:val="PlainText"/>
              <w:jc w:val="center"/>
              <w:rPr>
                <w:rFonts w:ascii="Century Gothic" w:hAnsi="Century Gothic"/>
              </w:rPr>
            </w:pPr>
            <w:r>
              <w:rPr>
                <w:rFonts w:ascii="Century Gothic" w:hAnsi="Century Gothic"/>
              </w:rPr>
              <w:t>0 – 2 years</w:t>
            </w:r>
          </w:p>
        </w:tc>
        <w:tc>
          <w:tcPr>
            <w:tcW w:w="1260" w:type="dxa"/>
            <w:vAlign w:val="center"/>
          </w:tcPr>
          <w:p w:rsidR="00974902" w:rsidRDefault="00AF24A7">
            <w:pPr>
              <w:pStyle w:val="PlainText"/>
              <w:jc w:val="center"/>
              <w:rPr>
                <w:rFonts w:ascii="Century Gothic" w:hAnsi="Century Gothic"/>
              </w:rPr>
            </w:pPr>
            <w:r>
              <w:rPr>
                <w:rFonts w:ascii="Century Gothic" w:hAnsi="Century Gothic"/>
              </w:rPr>
              <w:t>0%</w:t>
            </w:r>
          </w:p>
        </w:tc>
        <w:tc>
          <w:tcPr>
            <w:tcW w:w="1513" w:type="dxa"/>
            <w:vAlign w:val="center"/>
          </w:tcPr>
          <w:p w:rsidR="00974902" w:rsidRDefault="00AF24A7">
            <w:pPr>
              <w:pStyle w:val="PlainText"/>
              <w:jc w:val="center"/>
              <w:rPr>
                <w:rFonts w:ascii="Century Gothic" w:hAnsi="Century Gothic"/>
              </w:rPr>
            </w:pPr>
            <w:r>
              <w:rPr>
                <w:rFonts w:ascii="Century Gothic" w:hAnsi="Century Gothic"/>
              </w:rPr>
              <w:t>0 – 2%</w:t>
            </w:r>
          </w:p>
        </w:tc>
        <w:tc>
          <w:tcPr>
            <w:tcW w:w="1735" w:type="dxa"/>
            <w:vAlign w:val="center"/>
          </w:tcPr>
          <w:p w:rsidR="00974902" w:rsidRDefault="00AF24A7">
            <w:pPr>
              <w:pStyle w:val="PlainText"/>
              <w:jc w:val="center"/>
              <w:rPr>
                <w:rFonts w:ascii="Century Gothic" w:hAnsi="Century Gothic"/>
              </w:rPr>
            </w:pPr>
            <w:r>
              <w:rPr>
                <w:rFonts w:ascii="Century Gothic" w:hAnsi="Century Gothic"/>
              </w:rPr>
              <w:t>100%</w:t>
            </w:r>
          </w:p>
        </w:tc>
        <w:tc>
          <w:tcPr>
            <w:tcW w:w="1602" w:type="dxa"/>
            <w:vAlign w:val="center"/>
          </w:tcPr>
          <w:p w:rsidR="00974902" w:rsidRDefault="00AF24A7">
            <w:pPr>
              <w:pStyle w:val="PlainText"/>
              <w:jc w:val="center"/>
              <w:rPr>
                <w:rFonts w:ascii="Century Gothic" w:hAnsi="Century Gothic"/>
              </w:rPr>
            </w:pPr>
            <w:r>
              <w:rPr>
                <w:rFonts w:ascii="Century Gothic" w:hAnsi="Century Gothic"/>
              </w:rPr>
              <w:t>98 - 100%</w:t>
            </w:r>
          </w:p>
        </w:tc>
      </w:tr>
    </w:tbl>
    <w:p w:rsidR="00974902" w:rsidRDefault="00974902">
      <w:pPr>
        <w:pStyle w:val="PlainText"/>
        <w:rPr>
          <w:rFonts w:ascii="Century Gothic" w:hAnsi="Century Gothic"/>
          <w:u w:val="single"/>
        </w:rPr>
      </w:pPr>
    </w:p>
    <w:p w:rsidR="00974902" w:rsidRDefault="00AF24A7">
      <w:pPr>
        <w:pStyle w:val="PlainText"/>
        <w:jc w:val="both"/>
        <w:rPr>
          <w:rFonts w:ascii="Century Gothic" w:hAnsi="Century Gothic"/>
        </w:rPr>
      </w:pPr>
      <w:r>
        <w:rPr>
          <w:rFonts w:ascii="Century Gothic" w:hAnsi="Century Gothic"/>
        </w:rPr>
        <w:lastRenderedPageBreak/>
        <w:t>Beneficiary account balances shall be moved to the next age bracket on the day following their birthdate during which they reach age 5, 9, 13 and 16.  Accounts established based on the year’s to enrollment option will move to the next age bracket on the day following the beneficiaries birthdate when their projected enrollment year is 13, 9, 5 and 2 years from enrollment in college.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IMPLEMENTATION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All assets invested for the Program by the Investment Manager(s) after the adoption of this CIP shall conform to this Statement.</w:t>
      </w:r>
    </w:p>
    <w:p w:rsidR="00974902" w:rsidRDefault="00AF24A7">
      <w:pPr>
        <w:pStyle w:val="PlainText"/>
        <w:jc w:val="both"/>
        <w:rPr>
          <w:rFonts w:ascii="Century Gothic" w:hAnsi="Century Gothic"/>
        </w:rPr>
      </w:pPr>
      <w:r>
        <w:rPr>
          <w:rFonts w:ascii="Century Gothic" w:hAnsi="Century Gothic"/>
        </w:rPr>
        <w:t xml:space="preserve"> </w:t>
      </w:r>
    </w:p>
    <w:p w:rsidR="00974902" w:rsidRDefault="00AF24A7">
      <w:pPr>
        <w:pStyle w:val="PlainText"/>
        <w:jc w:val="both"/>
        <w:rPr>
          <w:rFonts w:ascii="Century Gothic" w:hAnsi="Century Gothic"/>
        </w:rPr>
      </w:pPr>
      <w:r>
        <w:rPr>
          <w:rFonts w:ascii="Century Gothic" w:hAnsi="Century Gothic"/>
        </w:rPr>
        <w:t>The following portfolio-specific guidelines have been established to:</w:t>
      </w:r>
    </w:p>
    <w:p w:rsidR="00974902" w:rsidRDefault="00974902">
      <w:pPr>
        <w:pStyle w:val="PlainText"/>
        <w:jc w:val="both"/>
        <w:rPr>
          <w:rFonts w:ascii="Century Gothic" w:hAnsi="Century Gothic"/>
        </w:rPr>
      </w:pPr>
    </w:p>
    <w:p w:rsidR="00974902" w:rsidRDefault="00AF24A7">
      <w:pPr>
        <w:pStyle w:val="PlainText"/>
        <w:numPr>
          <w:ilvl w:val="0"/>
          <w:numId w:val="64"/>
        </w:numPr>
        <w:jc w:val="both"/>
        <w:rPr>
          <w:rFonts w:ascii="Century Gothic" w:hAnsi="Century Gothic"/>
        </w:rPr>
      </w:pPr>
      <w:r>
        <w:rPr>
          <w:rFonts w:ascii="Century Gothic" w:hAnsi="Century Gothic"/>
        </w:rPr>
        <w:t xml:space="preserve">Ensure that the managers continually adhere to all regulations administered by any regulatory authority charged with oversight responsibility </w:t>
      </w:r>
    </w:p>
    <w:p w:rsidR="00974902" w:rsidRDefault="00974902">
      <w:pPr>
        <w:pStyle w:val="PlainText"/>
        <w:jc w:val="both"/>
        <w:rPr>
          <w:rFonts w:ascii="Century Gothic" w:hAnsi="Century Gothic"/>
        </w:rPr>
      </w:pPr>
    </w:p>
    <w:p w:rsidR="00974902" w:rsidRDefault="00AF24A7">
      <w:pPr>
        <w:pStyle w:val="PlainText"/>
        <w:numPr>
          <w:ilvl w:val="0"/>
          <w:numId w:val="64"/>
        </w:numPr>
        <w:jc w:val="both"/>
        <w:rPr>
          <w:rFonts w:ascii="Century Gothic" w:hAnsi="Century Gothic"/>
        </w:rPr>
      </w:pPr>
      <w:r>
        <w:rPr>
          <w:rFonts w:ascii="Century Gothic" w:hAnsi="Century Gothic"/>
        </w:rPr>
        <w:t>Limit the Program’s exposure to unintended risks</w:t>
      </w:r>
    </w:p>
    <w:p w:rsidR="00974902" w:rsidRDefault="00974902">
      <w:pPr>
        <w:pStyle w:val="PlainText"/>
        <w:jc w:val="both"/>
        <w:rPr>
          <w:rFonts w:ascii="Century Gothic" w:hAnsi="Century Gothic"/>
        </w:rPr>
      </w:pPr>
    </w:p>
    <w:p w:rsidR="00974902" w:rsidRDefault="00AF24A7">
      <w:pPr>
        <w:pStyle w:val="PlainText"/>
        <w:numPr>
          <w:ilvl w:val="0"/>
          <w:numId w:val="64"/>
        </w:numPr>
        <w:jc w:val="both"/>
        <w:rPr>
          <w:rFonts w:ascii="Century Gothic" w:hAnsi="Century Gothic"/>
        </w:rPr>
      </w:pPr>
      <w:r>
        <w:rPr>
          <w:rFonts w:ascii="Century Gothic" w:hAnsi="Century Gothic"/>
        </w:rPr>
        <w:t>Ensure that each investment option adheres to its specific objectives</w:t>
      </w:r>
    </w:p>
    <w:p w:rsidR="00974902" w:rsidRDefault="00974902">
      <w:pPr>
        <w:pStyle w:val="PlainText"/>
        <w:rPr>
          <w:rFonts w:ascii="Century Gothic" w:hAnsi="Century Gothic"/>
        </w:rPr>
      </w:pPr>
    </w:p>
    <w:p w:rsidR="00974902" w:rsidRDefault="00AF24A7">
      <w:pPr>
        <w:pStyle w:val="PlainText"/>
        <w:numPr>
          <w:ilvl w:val="0"/>
          <w:numId w:val="64"/>
        </w:numPr>
        <w:jc w:val="both"/>
        <w:rPr>
          <w:rFonts w:ascii="Century Gothic" w:hAnsi="Century Gothic"/>
        </w:rPr>
      </w:pPr>
      <w:r>
        <w:rPr>
          <w:rFonts w:ascii="Century Gothic" w:hAnsi="Century Gothic"/>
        </w:rPr>
        <w:t xml:space="preserve">Communicate objective, reasonable criteria of the Board's expectations to the managers. </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following sections contain the investment guidelines and policies for each option of the Florida College Savings Program:</w:t>
      </w:r>
    </w:p>
    <w:p w:rsidR="00974902" w:rsidRDefault="00974902">
      <w:pPr>
        <w:pStyle w:val="PlainText"/>
        <w:rPr>
          <w:rFonts w:ascii="Century Gothic" w:hAnsi="Century Gothic"/>
        </w:rPr>
      </w:pPr>
    </w:p>
    <w:p w:rsidR="00974902" w:rsidRDefault="00AF24A7">
      <w:pPr>
        <w:pStyle w:val="PlainText"/>
        <w:jc w:val="center"/>
        <w:rPr>
          <w:rFonts w:ascii="Century Gothic" w:hAnsi="Century Gothic"/>
          <w:b/>
        </w:rPr>
      </w:pPr>
      <w:r>
        <w:rPr>
          <w:rFonts w:ascii="Century Gothic" w:hAnsi="Century Gothic"/>
        </w:rPr>
        <w:br w:type="page"/>
      </w:r>
      <w:r>
        <w:rPr>
          <w:rFonts w:ascii="Century Gothic" w:hAnsi="Century Gothic"/>
          <w:b/>
        </w:rPr>
        <w:lastRenderedPageBreak/>
        <w:t xml:space="preserve"> OPTION 1</w:t>
      </w:r>
    </w:p>
    <w:p w:rsidR="00974902" w:rsidRDefault="00AF24A7">
      <w:pPr>
        <w:pStyle w:val="PlainText"/>
        <w:jc w:val="center"/>
        <w:rPr>
          <w:rFonts w:ascii="Century Gothic" w:hAnsi="Century Gothic"/>
          <w:b/>
        </w:rPr>
      </w:pPr>
      <w:r>
        <w:rPr>
          <w:rFonts w:ascii="Century Gothic" w:hAnsi="Century Gothic"/>
          <w:b/>
        </w:rPr>
        <w:t>LARGE CAP GROWTH PORTFOLIO</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rPr>
          <w:rFonts w:ascii="Century Gothic" w:hAnsi="Century Gothic"/>
        </w:rPr>
      </w:pP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Large Cap Growth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 </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numPr>
          <w:ilvl w:val="0"/>
          <w:numId w:val="78"/>
        </w:numPr>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w:t>
      </w:r>
      <w:r>
        <w:rPr>
          <w:rFonts w:ascii="Century Gothic" w:hAnsi="Century Gothic"/>
          <w:u w:val="single"/>
        </w:rPr>
        <w:t xml:space="preserve"> </w:t>
      </w:r>
      <w:r>
        <w:rPr>
          <w:rFonts w:ascii="Century Gothic" w:hAnsi="Century Gothic"/>
        </w:rPr>
        <w:t>five percent of the portfolio in initial public offerings that have been spun off by a company for which there is an adequate history and that has at least $1 billion in market capitalization.  Further, the parent must have been previously listed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jc w:val="both"/>
        <w:rPr>
          <w:rFonts w:ascii="Century Gothic" w:hAnsi="Century Gothic"/>
        </w:rPr>
      </w:pPr>
    </w:p>
    <w:p w:rsidR="00974902" w:rsidRDefault="00AF24A7">
      <w:pPr>
        <w:pStyle w:val="PlainText"/>
        <w:numPr>
          <w:ilvl w:val="0"/>
          <w:numId w:val="78"/>
        </w:numPr>
        <w:ind w:left="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1000 Growth Index of not less than .80 over any</w:t>
      </w:r>
      <w:r>
        <w:rPr>
          <w:rFonts w:ascii="Century Gothic" w:hAnsi="Century Gothic"/>
          <w:u w:val="single"/>
        </w:rPr>
        <w:t xml:space="preserve"> </w:t>
      </w:r>
      <w:r>
        <w:rPr>
          <w:rFonts w:ascii="Century Gothic" w:hAnsi="Century Gothic"/>
        </w:rPr>
        <w:t>rolling five-year time horizon calculated using monthly data.  Until such time as the portfolio has sufficient historical data, the manager's reported monthly historical performance data, which shall be in compliance with the Global Investment Performance Standards (GIPS), shall be utilized in determining portfolio compliance.</w:t>
      </w:r>
    </w:p>
    <w:p w:rsidR="00974902" w:rsidRDefault="00974902">
      <w:pPr>
        <w:pStyle w:val="PlainText"/>
        <w:jc w:val="both"/>
        <w:rPr>
          <w:rFonts w:ascii="Century Gothic" w:hAnsi="Century Gothic"/>
          <w:u w:val="single"/>
        </w:rPr>
      </w:pPr>
    </w:p>
    <w:p w:rsidR="00974902" w:rsidRDefault="00AF24A7">
      <w:pPr>
        <w:pStyle w:val="PlainText"/>
        <w:numPr>
          <w:ilvl w:val="0"/>
          <w:numId w:val="78"/>
        </w:numPr>
        <w:ind w:left="720"/>
        <w:jc w:val="both"/>
        <w:rPr>
          <w:rFonts w:ascii="Century Gothic" w:hAnsi="Century Gothic"/>
        </w:rPr>
      </w:pPr>
      <w:r>
        <w:rPr>
          <w:rFonts w:ascii="Century Gothic" w:hAnsi="Century Gothic"/>
        </w:rPr>
        <w:t xml:space="preserve">Equity investments shall be made only in securities listed on a United States stock exchange or traded on NASDAQ in the United States or in other, recognized domestic markets.  </w:t>
      </w:r>
    </w:p>
    <w:p w:rsidR="00974902" w:rsidRDefault="00974902">
      <w:pPr>
        <w:pStyle w:val="PlainText"/>
        <w:jc w:val="both"/>
        <w:rPr>
          <w:rFonts w:ascii="Century Gothic" w:hAnsi="Century Gothic"/>
        </w:rPr>
      </w:pPr>
    </w:p>
    <w:p w:rsidR="00974902" w:rsidRDefault="00AF24A7">
      <w:pPr>
        <w:pStyle w:val="PlainText"/>
        <w:numPr>
          <w:ilvl w:val="0"/>
          <w:numId w:val="78"/>
        </w:numPr>
        <w:ind w:left="720"/>
        <w:jc w:val="both"/>
        <w:rPr>
          <w:rFonts w:ascii="Century Gothic" w:hAnsi="Century Gothic"/>
        </w:rPr>
      </w:pPr>
      <w:r>
        <w:rPr>
          <w:rFonts w:ascii="Century Gothic" w:hAnsi="Century Gothic"/>
        </w:rPr>
        <w:t>Cash and cash equivalent investments shall be made in liquid Authorized Investment Vehicles as defined in the Comprehensive Investment Plan (CIP).</w:t>
      </w:r>
    </w:p>
    <w:p w:rsidR="00974902" w:rsidRDefault="00AF24A7">
      <w:pPr>
        <w:pStyle w:val="PlainText"/>
        <w:jc w:val="both"/>
        <w:rPr>
          <w:rFonts w:ascii="Century Gothic" w:hAnsi="Century Gothic"/>
          <w:b/>
        </w:rPr>
      </w:pPr>
      <w:r>
        <w:rPr>
          <w:rFonts w:ascii="Century Gothic" w:hAnsi="Century Gothic"/>
          <w:b/>
        </w:rPr>
        <w:br w:type="page"/>
      </w:r>
      <w:r>
        <w:rPr>
          <w:rFonts w:ascii="Century Gothic" w:hAnsi="Century Gothic"/>
          <w:b/>
        </w:rPr>
        <w:lastRenderedPageBreak/>
        <w:t>RESTRICTED INVESTMENTS</w:t>
      </w:r>
    </w:p>
    <w:p w:rsidR="00974902" w:rsidRDefault="00974902">
      <w:pPr>
        <w:pStyle w:val="PlainText"/>
        <w:jc w:val="both"/>
        <w:rPr>
          <w:rFonts w:ascii="Century Gothic" w:hAnsi="Century Gothic"/>
        </w:rPr>
      </w:pPr>
    </w:p>
    <w:p w:rsidR="00974902" w:rsidRDefault="00AF24A7">
      <w:pPr>
        <w:pStyle w:val="PlainText"/>
        <w:numPr>
          <w:ilvl w:val="0"/>
          <w:numId w:val="79"/>
        </w:numPr>
        <w:jc w:val="both"/>
        <w:rPr>
          <w:rFonts w:ascii="Century Gothic" w:hAnsi="Century Gothic"/>
        </w:rPr>
      </w:pPr>
      <w:r>
        <w:rPr>
          <w:rFonts w:ascii="Century Gothic" w:hAnsi="Century Gothic"/>
        </w:rPr>
        <w:t>Use of margin is prohibited.</w:t>
      </w:r>
    </w:p>
    <w:p w:rsidR="00974902" w:rsidRDefault="00974902">
      <w:pPr>
        <w:pStyle w:val="PlainText"/>
        <w:jc w:val="both"/>
        <w:rPr>
          <w:rFonts w:ascii="Century Gothic" w:hAnsi="Century Gothic"/>
        </w:rPr>
      </w:pPr>
    </w:p>
    <w:p w:rsidR="00974902" w:rsidRDefault="00AF24A7">
      <w:pPr>
        <w:pStyle w:val="PlainText"/>
        <w:numPr>
          <w:ilvl w:val="0"/>
          <w:numId w:val="79"/>
        </w:numPr>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jc w:val="both"/>
        <w:rPr>
          <w:rFonts w:ascii="Century Gothic" w:hAnsi="Century Gothic"/>
        </w:rPr>
      </w:pPr>
    </w:p>
    <w:p w:rsidR="00974902" w:rsidRDefault="00AF24A7">
      <w:pPr>
        <w:pStyle w:val="PlainText"/>
        <w:numPr>
          <w:ilvl w:val="0"/>
          <w:numId w:val="79"/>
        </w:numPr>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u w:val="single"/>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Russell 1000 Growth Index, or other agreed-upon investible benchmark representing the large cap growth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1000 Growth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1000 Growth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u w:val="single"/>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1000 Growth Index is expected to rank below the highest quartile of managers in the Large Cap Growth peer group over rolling three year time periods.</w:t>
      </w:r>
    </w:p>
    <w:p w:rsidR="00974902" w:rsidRDefault="00AF24A7">
      <w:pPr>
        <w:pStyle w:val="PlainText"/>
        <w:ind w:left="360"/>
        <w:jc w:val="center"/>
        <w:rPr>
          <w:rFonts w:ascii="Century Gothic" w:hAnsi="Century Gothic"/>
          <w:b/>
          <w:bCs/>
        </w:rPr>
      </w:pPr>
      <w:r>
        <w:rPr>
          <w:rFonts w:ascii="Century Gothic" w:hAnsi="Century Gothic"/>
        </w:rPr>
        <w:br w:type="page"/>
      </w:r>
      <w:r>
        <w:rPr>
          <w:rFonts w:ascii="Century Gothic" w:hAnsi="Century Gothic"/>
          <w:b/>
          <w:bCs/>
        </w:rPr>
        <w:lastRenderedPageBreak/>
        <w:t>OPTION 2</w:t>
      </w:r>
    </w:p>
    <w:p w:rsidR="00974902" w:rsidRDefault="00AF24A7">
      <w:pPr>
        <w:pStyle w:val="PlainText"/>
        <w:ind w:left="360"/>
        <w:jc w:val="center"/>
        <w:rPr>
          <w:rFonts w:ascii="Century Gothic" w:hAnsi="Century Gothic"/>
          <w:b/>
          <w:bCs/>
        </w:rPr>
      </w:pPr>
      <w:r>
        <w:rPr>
          <w:rFonts w:ascii="Century Gothic" w:hAnsi="Century Gothic"/>
          <w:b/>
          <w:bCs/>
        </w:rPr>
        <w:t xml:space="preserve">LARGE CAP VALUE PORTFOLIO </w:t>
      </w:r>
    </w:p>
    <w:p w:rsidR="00974902" w:rsidRDefault="00AF24A7">
      <w:pPr>
        <w:pStyle w:val="PlainText"/>
        <w:jc w:val="center"/>
        <w:rPr>
          <w:rFonts w:ascii="Century Gothic" w:hAnsi="Century Gothic"/>
          <w:b/>
          <w:bCs/>
        </w:rPr>
      </w:pPr>
      <w:r>
        <w:rPr>
          <w:rFonts w:ascii="Century Gothic" w:hAnsi="Century Gothic"/>
          <w:b/>
          <w:bCs/>
        </w:rPr>
        <w:t>INVESTMENT GUIDELINES</w:t>
      </w:r>
    </w:p>
    <w:p w:rsidR="00974902" w:rsidRDefault="00974902">
      <w:pPr>
        <w:pStyle w:val="PlainText"/>
        <w:ind w:left="360"/>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Large Cap Value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numPr>
          <w:ilvl w:val="0"/>
          <w:numId w:val="80"/>
        </w:numPr>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an adequate history and that has at least $1 billion in market capitalization.  Further, the parent must have been previously listed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jc w:val="both"/>
        <w:rPr>
          <w:rFonts w:ascii="Century Gothic" w:hAnsi="Century Gothic"/>
          <w:u w:val="single"/>
        </w:rPr>
      </w:pPr>
    </w:p>
    <w:p w:rsidR="00974902" w:rsidRDefault="00AF24A7">
      <w:pPr>
        <w:pStyle w:val="PlainText"/>
        <w:numPr>
          <w:ilvl w:val="0"/>
          <w:numId w:val="80"/>
        </w:numPr>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1000 Value Index of not less than .80 over any rolling five-year time horizon calculated using monthly data.  Until such time as the portfolio has sufficient historical data, the manager's reported monthly historical performance data, which shall be in compliance with the Global Investment Performance Standards (GIPS), shall be utilized in determining portfolio compliance.</w:t>
      </w:r>
    </w:p>
    <w:p w:rsidR="00974902" w:rsidRDefault="00974902">
      <w:pPr>
        <w:pStyle w:val="PlainText"/>
        <w:jc w:val="both"/>
        <w:rPr>
          <w:rFonts w:ascii="Century Gothic" w:hAnsi="Century Gothic"/>
          <w:u w:val="single"/>
        </w:rPr>
      </w:pPr>
    </w:p>
    <w:p w:rsidR="00974902" w:rsidRDefault="00AF24A7">
      <w:pPr>
        <w:pStyle w:val="PlainText"/>
        <w:numPr>
          <w:ilvl w:val="0"/>
          <w:numId w:val="80"/>
        </w:numPr>
        <w:tabs>
          <w:tab w:val="left" w:pos="720"/>
        </w:tabs>
        <w:jc w:val="both"/>
        <w:rPr>
          <w:rFonts w:ascii="Century Gothic" w:hAnsi="Century Gothic"/>
          <w:strike/>
        </w:rPr>
      </w:pPr>
      <w:r>
        <w:rPr>
          <w:rFonts w:ascii="Century Gothic" w:hAnsi="Century Gothic"/>
        </w:rPr>
        <w:t xml:space="preserve">Equity investments shall be made only in securities listed on a United States stock exchange or traded on NASDAQ in the United States.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Comprehensive Investment Plan (CIP).</w:t>
      </w:r>
    </w:p>
    <w:p w:rsidR="00974902" w:rsidRDefault="00AF24A7">
      <w:pPr>
        <w:rPr>
          <w:rFonts w:ascii="Century Gothic" w:hAnsi="Century Gothic"/>
          <w:b/>
          <w:sz w:val="20"/>
          <w:szCs w:val="20"/>
        </w:rPr>
      </w:pPr>
      <w:r>
        <w:rPr>
          <w:rFonts w:ascii="Century Gothic" w:hAnsi="Century Gothic"/>
          <w:b/>
          <w:sz w:val="20"/>
          <w:szCs w:val="20"/>
        </w:rPr>
        <w:br w:type="page"/>
      </w:r>
    </w:p>
    <w:p w:rsidR="00974902" w:rsidRDefault="00AF24A7">
      <w:pPr>
        <w:pStyle w:val="PlainText"/>
        <w:jc w:val="both"/>
        <w:rPr>
          <w:rFonts w:ascii="Century Gothic" w:hAnsi="Century Gothic"/>
          <w:b/>
        </w:rPr>
      </w:pPr>
      <w:r>
        <w:rPr>
          <w:rFonts w:ascii="Century Gothic" w:hAnsi="Century Gothic"/>
          <w:b/>
        </w:rPr>
        <w:lastRenderedPageBreak/>
        <w:t>RESTRICTED INVESTMENTS</w:t>
      </w:r>
    </w:p>
    <w:p w:rsidR="00974902" w:rsidRDefault="00974902">
      <w:pPr>
        <w:pStyle w:val="PlainText"/>
        <w:jc w:val="both"/>
        <w:rPr>
          <w:rFonts w:ascii="Century Gothic" w:hAnsi="Century Gothic"/>
        </w:rPr>
      </w:pPr>
    </w:p>
    <w:p w:rsidR="00974902" w:rsidRDefault="00AF24A7">
      <w:pPr>
        <w:pStyle w:val="PlainText"/>
        <w:numPr>
          <w:ilvl w:val="0"/>
          <w:numId w:val="81"/>
        </w:numPr>
        <w:jc w:val="both"/>
        <w:rPr>
          <w:rFonts w:ascii="Century Gothic" w:hAnsi="Century Gothic"/>
        </w:rPr>
      </w:pPr>
      <w:r>
        <w:rPr>
          <w:rFonts w:ascii="Century Gothic" w:hAnsi="Century Gothic"/>
        </w:rPr>
        <w:t>Use of margin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1"/>
        </w:numPr>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1"/>
        </w:numPr>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Russell 1000 Value Index, or other agreed-upon investible benchmark representing the large cap value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1000 Value Index, over any three or more year period of time, taking into consideration the following:</w:t>
      </w:r>
    </w:p>
    <w:p w:rsidR="00974902" w:rsidRDefault="00974902">
      <w:pPr>
        <w:pStyle w:val="PlainText"/>
        <w:jc w:val="both"/>
        <w:rPr>
          <w:rFonts w:ascii="Century Gothic" w:hAnsi="Century Gothic"/>
          <w:u w:val="single"/>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1000 Value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1000 Value Index is expected to rank below the highest quartile of managers in the Large Cap Value peer group over rolling three year time periods.</w:t>
      </w:r>
    </w:p>
    <w:p w:rsidR="00974902" w:rsidRDefault="00AF24A7">
      <w:pPr>
        <w:pStyle w:val="PlainText"/>
        <w:ind w:left="720"/>
        <w:jc w:val="center"/>
        <w:rPr>
          <w:rFonts w:ascii="Century Gothic" w:hAnsi="Century Gothic"/>
          <w:b/>
          <w:bCs/>
        </w:rPr>
      </w:pPr>
      <w:r>
        <w:rPr>
          <w:rFonts w:ascii="Century Gothic" w:hAnsi="Century Gothic"/>
          <w:b/>
        </w:rPr>
        <w:br w:type="page"/>
      </w:r>
      <w:r>
        <w:rPr>
          <w:rFonts w:ascii="Century Gothic" w:hAnsi="Century Gothic"/>
          <w:b/>
          <w:bCs/>
        </w:rPr>
        <w:lastRenderedPageBreak/>
        <w:t>OPTION 3</w:t>
      </w:r>
    </w:p>
    <w:p w:rsidR="00974902" w:rsidRDefault="00AF24A7">
      <w:pPr>
        <w:pStyle w:val="PlainText"/>
        <w:ind w:left="720"/>
        <w:jc w:val="center"/>
        <w:rPr>
          <w:rFonts w:ascii="Century Gothic" w:hAnsi="Century Gothic"/>
          <w:b/>
          <w:bCs/>
        </w:rPr>
      </w:pPr>
      <w:r>
        <w:rPr>
          <w:rFonts w:ascii="Century Gothic" w:hAnsi="Century Gothic"/>
          <w:b/>
          <w:bCs/>
        </w:rPr>
        <w:t xml:space="preserve">LARGE CAP CORE PORTFOLIO </w:t>
      </w:r>
    </w:p>
    <w:p w:rsidR="00974902" w:rsidRDefault="00AF24A7">
      <w:pPr>
        <w:pStyle w:val="PlainText"/>
        <w:ind w:left="720"/>
        <w:jc w:val="center"/>
        <w:rPr>
          <w:rFonts w:ascii="Century Gothic" w:hAnsi="Century Gothic"/>
          <w:b/>
          <w:bCs/>
        </w:rPr>
      </w:pPr>
      <w:r>
        <w:rPr>
          <w:rFonts w:ascii="Century Gothic" w:hAnsi="Century Gothic"/>
          <w:b/>
          <w:bCs/>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Large Cap Core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bCs/>
        </w:rPr>
      </w:pPr>
      <w:r>
        <w:rPr>
          <w:rFonts w:ascii="Century Gothic" w:hAnsi="Century Gothic"/>
          <w:b/>
          <w:bCs/>
        </w:rPr>
        <w:t>INVESTMENT GUIDELINES</w:t>
      </w:r>
    </w:p>
    <w:p w:rsidR="00974902" w:rsidRDefault="00974902">
      <w:pPr>
        <w:pStyle w:val="PlainText"/>
        <w:jc w:val="both"/>
        <w:rPr>
          <w:rFonts w:ascii="Century Gothic" w:hAnsi="Century Gothic"/>
        </w:rPr>
      </w:pPr>
    </w:p>
    <w:p w:rsidR="00974902" w:rsidRDefault="00AF24A7">
      <w:pPr>
        <w:pStyle w:val="PlainText"/>
        <w:numPr>
          <w:ilvl w:val="0"/>
          <w:numId w:val="82"/>
        </w:numPr>
        <w:jc w:val="both"/>
        <w:rPr>
          <w:rFonts w:ascii="Century Gothic" w:hAnsi="Century Gothic"/>
        </w:rPr>
      </w:pPr>
      <w:r>
        <w:rPr>
          <w:rFonts w:ascii="Century Gothic" w:hAnsi="Century Gothic"/>
        </w:rPr>
        <w:t xml:space="preserve">The Manager shall be permitted to invest in any securities which are a part of the S&amp;P 500, without regard for the constraint within this policy prohibiting or restricting the ownership  of companies with less than a 3 year publicly available operating history.  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and the reporting requirements imposed on Managers. </w:t>
      </w:r>
    </w:p>
    <w:p w:rsidR="00974902" w:rsidRDefault="00974902">
      <w:pPr>
        <w:pStyle w:val="PlainText"/>
        <w:tabs>
          <w:tab w:val="num" w:pos="720"/>
        </w:tabs>
        <w:ind w:left="720" w:hanging="720"/>
        <w:jc w:val="both"/>
        <w:rPr>
          <w:rFonts w:ascii="Century Gothic" w:hAnsi="Century Gothic"/>
        </w:rPr>
      </w:pPr>
    </w:p>
    <w:p w:rsidR="00974902" w:rsidRDefault="00AF24A7">
      <w:pPr>
        <w:pStyle w:val="ListParagraph"/>
        <w:numPr>
          <w:ilvl w:val="0"/>
          <w:numId w:val="82"/>
        </w:numPr>
        <w:spacing w:after="0" w:line="240" w:lineRule="auto"/>
        <w:contextualSpacing w:val="0"/>
        <w:rPr>
          <w:rFonts w:ascii="Century Gothic" w:hAnsi="Century Gothic"/>
          <w:sz w:val="20"/>
          <w:szCs w:val="20"/>
        </w:rPr>
      </w:pPr>
      <w:r>
        <w:rPr>
          <w:rFonts w:ascii="Century Gothic" w:hAnsi="Century Gothic"/>
          <w:sz w:val="20"/>
          <w:szCs w:val="20"/>
        </w:rPr>
        <w:t>The Manager shall be permitted to invest in any securities which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974902" w:rsidRDefault="00974902">
      <w:pPr>
        <w:pStyle w:val="PlainText"/>
        <w:ind w:left="720" w:hanging="720"/>
        <w:jc w:val="both"/>
        <w:rPr>
          <w:rFonts w:ascii="Century Gothic" w:hAnsi="Century Gothic"/>
        </w:rPr>
      </w:pPr>
    </w:p>
    <w:p w:rsidR="00974902" w:rsidRDefault="00AF24A7">
      <w:pPr>
        <w:pStyle w:val="PlainText"/>
        <w:numPr>
          <w:ilvl w:val="0"/>
          <w:numId w:val="82"/>
        </w:numPr>
        <w:jc w:val="both"/>
        <w:rPr>
          <w:rFonts w:ascii="Century Gothic" w:hAnsi="Century Gothic"/>
        </w:rPr>
      </w:pPr>
      <w:r>
        <w:rPr>
          <w:rFonts w:ascii="Century Gothic" w:hAnsi="Century Gothic"/>
        </w:rPr>
        <w:t>The use of futures as a substitute for physical investing, or to facilitate cash flows shall be permitted for this portfolio, provided the manager receives prior written approval from the Board. In order to obtain such approval, the manager must submit a written request to the Board, quantifying the net advantages that will accrue to the portfolio.</w:t>
      </w:r>
    </w:p>
    <w:p w:rsidR="00974902" w:rsidRDefault="00974902">
      <w:pPr>
        <w:pStyle w:val="ListParagraph"/>
        <w:ind w:hanging="720"/>
        <w:rPr>
          <w:rFonts w:ascii="Century Gothic" w:hAnsi="Century Gothic"/>
          <w:sz w:val="20"/>
          <w:szCs w:val="20"/>
        </w:rPr>
      </w:pPr>
    </w:p>
    <w:p w:rsidR="00974902" w:rsidRDefault="00AF24A7">
      <w:pPr>
        <w:pStyle w:val="PlainText"/>
        <w:numPr>
          <w:ilvl w:val="0"/>
          <w:numId w:val="82"/>
        </w:numPr>
        <w:jc w:val="both"/>
        <w:rPr>
          <w:rFonts w:ascii="Century Gothic" w:hAnsi="Century Gothic"/>
        </w:rPr>
      </w:pPr>
      <w:r>
        <w:rPr>
          <w:rFonts w:ascii="Century Gothic" w:hAnsi="Century Gothic"/>
        </w:rPr>
        <w:t xml:space="preserve">The Manager may temporarily invest in companies outside of the index in the case of additions or deletions, with the goal of minimizing tracking error and/or reducing trading costs. </w:t>
      </w:r>
    </w:p>
    <w:p w:rsidR="00974902" w:rsidRDefault="00974902">
      <w:pPr>
        <w:pStyle w:val="PlainText"/>
        <w:jc w:val="both"/>
        <w:rPr>
          <w:rFonts w:ascii="Century Gothic" w:hAnsi="Century Gothic"/>
          <w:b/>
          <w:bCs/>
        </w:rPr>
      </w:pPr>
    </w:p>
    <w:p w:rsidR="00974902" w:rsidRDefault="00AF24A7">
      <w:pPr>
        <w:pStyle w:val="PlainText"/>
        <w:jc w:val="both"/>
        <w:rPr>
          <w:rFonts w:ascii="Century Gothic" w:hAnsi="Century Gothic"/>
          <w:b/>
          <w:bCs/>
        </w:rPr>
      </w:pPr>
      <w:r>
        <w:rPr>
          <w:rFonts w:ascii="Century Gothic" w:hAnsi="Century Gothic"/>
          <w:b/>
          <w:bCs/>
        </w:rPr>
        <w:br w:type="page"/>
      </w:r>
      <w:r>
        <w:rPr>
          <w:rFonts w:ascii="Century Gothic" w:hAnsi="Century Gothic"/>
          <w:b/>
          <w:bCs/>
        </w:rPr>
        <w:lastRenderedPageBreak/>
        <w:t>CASH AND SHORT TERM 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Comprehensive Investment Plan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bCs/>
        </w:rPr>
      </w:pPr>
      <w:r>
        <w:rPr>
          <w:rFonts w:ascii="Century Gothic" w:hAnsi="Century Gothic"/>
          <w:b/>
          <w:bCs/>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58"/>
        </w:numPr>
        <w:ind w:left="360"/>
        <w:jc w:val="both"/>
        <w:rPr>
          <w:rFonts w:ascii="Century Gothic" w:hAnsi="Century Gothic"/>
        </w:rPr>
      </w:pPr>
      <w:r>
        <w:rPr>
          <w:rFonts w:ascii="Century Gothic" w:hAnsi="Century Gothic"/>
        </w:rPr>
        <w:t>The use of futures will be permitted subject to the restrictions imposed by Paragraph 16 (entitled “Derivatives”) in the “Authorized Investment Vehicles” section.</w:t>
      </w:r>
    </w:p>
    <w:p w:rsidR="00974902" w:rsidRDefault="00974902">
      <w:pPr>
        <w:pStyle w:val="PlainText"/>
        <w:jc w:val="both"/>
        <w:rPr>
          <w:rFonts w:ascii="Century Gothic" w:hAnsi="Century Gothic"/>
        </w:rPr>
      </w:pPr>
    </w:p>
    <w:p w:rsidR="00974902" w:rsidRDefault="00AF24A7">
      <w:pPr>
        <w:pStyle w:val="PlainText"/>
        <w:numPr>
          <w:ilvl w:val="0"/>
          <w:numId w:val="58"/>
        </w:numPr>
        <w:tabs>
          <w:tab w:val="num" w:pos="720"/>
        </w:tabs>
        <w:ind w:left="360"/>
        <w:jc w:val="both"/>
        <w:rPr>
          <w:rFonts w:ascii="Century Gothic" w:hAnsi="Century Gothic"/>
        </w:rPr>
      </w:pPr>
      <w:r>
        <w:rPr>
          <w:rFonts w:ascii="Century Gothic" w:hAnsi="Century Gothic"/>
        </w:rPr>
        <w:t>Use of margin is prohibited except as may be required in the use of futures.</w:t>
      </w:r>
    </w:p>
    <w:p w:rsidR="00974902" w:rsidRDefault="00974902">
      <w:pPr>
        <w:pStyle w:val="PlainText"/>
        <w:jc w:val="both"/>
        <w:rPr>
          <w:rFonts w:ascii="Century Gothic" w:hAnsi="Century Gothic"/>
        </w:rPr>
      </w:pPr>
    </w:p>
    <w:p w:rsidR="00974902" w:rsidRDefault="00AF24A7">
      <w:pPr>
        <w:pStyle w:val="PlainText"/>
        <w:numPr>
          <w:ilvl w:val="0"/>
          <w:numId w:val="58"/>
        </w:numPr>
        <w:tabs>
          <w:tab w:val="num" w:pos="720"/>
        </w:tabs>
        <w:ind w:left="360"/>
        <w:jc w:val="both"/>
        <w:rPr>
          <w:rFonts w:ascii="Century Gothic" w:hAnsi="Century Gothic"/>
        </w:rPr>
      </w:pPr>
      <w:r>
        <w:rPr>
          <w:rFonts w:ascii="Century Gothic" w:hAnsi="Century Gothic"/>
        </w:rPr>
        <w:t>Convertible securities shall not be allowed for investment purposes.</w:t>
      </w:r>
    </w:p>
    <w:p w:rsidR="00974902" w:rsidRDefault="00974902">
      <w:pPr>
        <w:pStyle w:val="PlainText"/>
        <w:jc w:val="both"/>
        <w:rPr>
          <w:rFonts w:ascii="Century Gothic" w:hAnsi="Century Gothic"/>
        </w:rPr>
      </w:pPr>
    </w:p>
    <w:p w:rsidR="00974902" w:rsidRDefault="00AF24A7">
      <w:pPr>
        <w:pStyle w:val="PlainText"/>
        <w:rPr>
          <w:rFonts w:ascii="Century Gothic" w:hAnsi="Century Gothic"/>
        </w:rPr>
      </w:pPr>
      <w:r>
        <w:rPr>
          <w:rFonts w:ascii="Century Gothic" w:hAnsi="Century Gothic"/>
          <w:b/>
        </w:rPr>
        <w:t>PERFORMANCE OBJECTIVES</w:t>
      </w:r>
    </w:p>
    <w:p w:rsidR="00974902" w:rsidRDefault="00974902">
      <w:pPr>
        <w:pStyle w:val="PlainText"/>
        <w:rPr>
          <w:rFonts w:ascii="Century Gothic" w:hAnsi="Century Gothic"/>
        </w:rPr>
      </w:pPr>
    </w:p>
    <w:p w:rsidR="00974902" w:rsidRDefault="00AF24A7">
      <w:pPr>
        <w:pStyle w:val="PlainText"/>
        <w:rPr>
          <w:rFonts w:ascii="Century Gothic" w:hAnsi="Century Gothic"/>
          <w:u w:val="single"/>
        </w:rPr>
      </w:pPr>
      <w:r>
        <w:rPr>
          <w:rFonts w:ascii="Century Gothic" w:hAnsi="Century Gothic"/>
          <w:u w:val="single"/>
        </w:rPr>
        <w:t>Passive Managers</w:t>
      </w:r>
    </w:p>
    <w:p w:rsidR="00974902" w:rsidRDefault="00974902">
      <w:pPr>
        <w:pStyle w:val="PlainText"/>
        <w:rPr>
          <w:rFonts w:ascii="Century Gothic" w:hAnsi="Century Gothic"/>
          <w:u w:val="single"/>
        </w:rPr>
      </w:pPr>
    </w:p>
    <w:p w:rsidR="00974902" w:rsidRDefault="00AF24A7">
      <w:pPr>
        <w:pStyle w:val="PlainText"/>
        <w:jc w:val="both"/>
        <w:rPr>
          <w:rFonts w:ascii="Century Gothic" w:hAnsi="Century Gothic"/>
        </w:rPr>
      </w:pPr>
      <w:r>
        <w:rPr>
          <w:rFonts w:ascii="Century Gothic" w:hAnsi="Century Gothic"/>
        </w:rPr>
        <w:t>Manager performance shall be reviewed relative to the S&amp;P 500, over any three to five year period,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manager’s performance is expected to meet the S&amp;P 500 Index.</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ListParagraph"/>
        <w:numPr>
          <w:ilvl w:val="0"/>
          <w:numId w:val="74"/>
        </w:numPr>
        <w:spacing w:after="0" w:line="240" w:lineRule="auto"/>
        <w:ind w:left="360"/>
        <w:contextualSpacing w:val="0"/>
        <w:rPr>
          <w:rFonts w:ascii="Century Gothic" w:hAnsi="Century Gothic"/>
          <w:sz w:val="20"/>
          <w:szCs w:val="20"/>
        </w:rPr>
      </w:pPr>
      <w:r>
        <w:rPr>
          <w:rFonts w:ascii="Century Gothic" w:hAnsi="Century Gothic"/>
          <w:sz w:val="20"/>
          <w:szCs w:val="20"/>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974902" w:rsidRDefault="00974902">
      <w:pPr>
        <w:pStyle w:val="PlainText"/>
        <w:ind w:left="360"/>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rPr>
          <w:rFonts w:ascii="Century Gothic" w:hAnsi="Century Gothic"/>
          <w:u w:val="single"/>
        </w:rPr>
      </w:pPr>
      <w:r>
        <w:rPr>
          <w:rFonts w:ascii="Century Gothic" w:hAnsi="Century Gothic"/>
          <w:u w:val="single"/>
        </w:rPr>
        <w:t>Active Managers</w:t>
      </w:r>
    </w:p>
    <w:p w:rsidR="00974902" w:rsidRDefault="00974902">
      <w:pPr>
        <w:pStyle w:val="PlainText"/>
        <w:rPr>
          <w:rFonts w:ascii="Century Gothic" w:hAnsi="Century Gothic"/>
          <w:u w:val="single"/>
        </w:rPr>
      </w:pPr>
    </w:p>
    <w:p w:rsidR="00974902" w:rsidRDefault="00AF24A7">
      <w:pPr>
        <w:pStyle w:val="PlainText"/>
        <w:jc w:val="both"/>
        <w:rPr>
          <w:rFonts w:ascii="Century Gothic" w:hAnsi="Century Gothic"/>
        </w:rPr>
      </w:pPr>
      <w:r>
        <w:rPr>
          <w:rFonts w:ascii="Century Gothic" w:hAnsi="Century Gothic"/>
        </w:rPr>
        <w:t>Manager performance shall be reviewed relative to the S&amp;P 500 Index, over any three or more year period of time, taking into consideration the following:</w:t>
      </w:r>
    </w:p>
    <w:p w:rsidR="00974902" w:rsidRDefault="00974902">
      <w:pPr>
        <w:pStyle w:val="PlainText"/>
        <w:jc w:val="both"/>
        <w:rPr>
          <w:rFonts w:ascii="Century Gothic" w:hAnsi="Century Gothic"/>
          <w:u w:val="single"/>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S&amp;P 500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S&amp;P 500 Index is expected to rank below the highest quartile of managers in the Large Cap Value peer group over rolling three year time periods.</w:t>
      </w:r>
    </w:p>
    <w:p w:rsidR="00974902" w:rsidRDefault="00AF24A7">
      <w:pPr>
        <w:pStyle w:val="PlainText"/>
        <w:jc w:val="center"/>
        <w:rPr>
          <w:rFonts w:ascii="Century Gothic" w:hAnsi="Century Gothic"/>
          <w:b/>
        </w:rPr>
      </w:pPr>
      <w:r>
        <w:rPr>
          <w:rFonts w:ascii="Century Gothic" w:hAnsi="Century Gothic"/>
        </w:rPr>
        <w:br w:type="page"/>
      </w:r>
      <w:r>
        <w:rPr>
          <w:rFonts w:ascii="Century Gothic" w:hAnsi="Century Gothic"/>
          <w:b/>
        </w:rPr>
        <w:lastRenderedPageBreak/>
        <w:t>OPTION 4</w:t>
      </w:r>
    </w:p>
    <w:p w:rsidR="00974902" w:rsidRDefault="00AF24A7">
      <w:pPr>
        <w:pStyle w:val="PlainText"/>
        <w:jc w:val="center"/>
        <w:rPr>
          <w:rFonts w:ascii="Century Gothic" w:hAnsi="Century Gothic"/>
          <w:b/>
          <w:bCs/>
        </w:rPr>
      </w:pPr>
      <w:r>
        <w:rPr>
          <w:rFonts w:ascii="Century Gothic" w:hAnsi="Century Gothic"/>
          <w:b/>
          <w:bCs/>
        </w:rPr>
        <w:t>MID CAP PORTFOLIO</w:t>
      </w:r>
    </w:p>
    <w:p w:rsidR="00974902" w:rsidRDefault="00AF24A7">
      <w:pPr>
        <w:pStyle w:val="PlainText"/>
        <w:jc w:val="center"/>
        <w:rPr>
          <w:rFonts w:ascii="Century Gothic" w:hAnsi="Century Gothic"/>
          <w:b/>
          <w:bCs/>
        </w:rPr>
      </w:pPr>
      <w:r>
        <w:rPr>
          <w:rFonts w:ascii="Century Gothic" w:hAnsi="Century Gothic"/>
          <w:b/>
          <w:bCs/>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Mid Cap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numPr>
          <w:ilvl w:val="0"/>
          <w:numId w:val="83"/>
        </w:numPr>
        <w:tabs>
          <w:tab w:val="num" w:pos="810"/>
        </w:tabs>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3"/>
        </w:numPr>
        <w:tabs>
          <w:tab w:val="num" w:pos="810"/>
        </w:tabs>
        <w:ind w:left="720"/>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S&amp;P MidCap 400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ListParagraph"/>
        <w:rPr>
          <w:rFonts w:ascii="Century Gothic" w:hAnsi="Century Gothic"/>
          <w:sz w:val="20"/>
          <w:szCs w:val="20"/>
        </w:rPr>
      </w:pPr>
    </w:p>
    <w:p w:rsidR="00974902" w:rsidRDefault="00AF24A7">
      <w:pPr>
        <w:pStyle w:val="PlainText"/>
        <w:numPr>
          <w:ilvl w:val="0"/>
          <w:numId w:val="83"/>
        </w:numPr>
        <w:ind w:left="810"/>
        <w:jc w:val="both"/>
        <w:rPr>
          <w:rFonts w:ascii="Century Gothic" w:hAnsi="Century Gothic"/>
        </w:rPr>
      </w:pPr>
      <w:r>
        <w:rPr>
          <w:rFonts w:ascii="Century Gothic" w:hAnsi="Century Gothic"/>
        </w:rPr>
        <w:t xml:space="preserve">Equity investments shall be made only in securities listed on a United States stock exchange or traded on NASDAQ in the United States or in other, recognized domestic markets.  </w:t>
      </w:r>
    </w:p>
    <w:p w:rsidR="00974902" w:rsidRDefault="00974902">
      <w:pPr>
        <w:pStyle w:val="PlainText"/>
        <w:ind w:left="810"/>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br w:type="page"/>
      </w:r>
      <w:r>
        <w:rPr>
          <w:rFonts w:ascii="Century Gothic" w:hAnsi="Century Gothic"/>
          <w:b/>
        </w:rPr>
        <w:lastRenderedPageBreak/>
        <w:t>RESTRICTED INVESTMENTS</w:t>
      </w:r>
    </w:p>
    <w:p w:rsidR="00974902" w:rsidRDefault="00974902">
      <w:pPr>
        <w:pStyle w:val="PlainText"/>
        <w:jc w:val="both"/>
        <w:rPr>
          <w:rFonts w:ascii="Century Gothic" w:hAnsi="Century Gothic"/>
        </w:rPr>
      </w:pPr>
    </w:p>
    <w:p w:rsidR="00974902" w:rsidRDefault="00AF24A7">
      <w:pPr>
        <w:pStyle w:val="PlainText"/>
        <w:numPr>
          <w:ilvl w:val="0"/>
          <w:numId w:val="84"/>
        </w:numPr>
        <w:jc w:val="both"/>
        <w:rPr>
          <w:rFonts w:ascii="Century Gothic" w:hAnsi="Century Gothic"/>
        </w:rPr>
      </w:pPr>
      <w:r>
        <w:rPr>
          <w:rFonts w:ascii="Century Gothic" w:hAnsi="Century Gothic"/>
        </w:rPr>
        <w:t>Use of margin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4"/>
        </w:numPr>
        <w:tabs>
          <w:tab w:val="num" w:pos="900"/>
        </w:tabs>
        <w:ind w:left="720"/>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4"/>
        </w:numPr>
        <w:tabs>
          <w:tab w:val="num" w:pos="900"/>
        </w:tabs>
        <w:ind w:left="72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S&amp;P 400 Index, or other agreed-upon investible benchmark representing the mid cap U.S. equity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 xml:space="preserve">Active Managers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S&amp;P MidCap 400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S&amp;P MidCap 400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S&amp;P MidCap 400 Index is expected to rank below the highest quartile of managers in the MidCap Broad peer group over rolling three year time periods.</w:t>
      </w:r>
    </w:p>
    <w:p w:rsidR="00974902" w:rsidRDefault="00974902">
      <w:pPr>
        <w:pStyle w:val="PlainText"/>
        <w:jc w:val="both"/>
        <w:rPr>
          <w:rFonts w:ascii="Century Gothic" w:hAnsi="Century Gothic"/>
        </w:rPr>
      </w:pPr>
    </w:p>
    <w:p w:rsidR="00974902" w:rsidRDefault="00974902">
      <w:pPr>
        <w:pStyle w:val="PlainText"/>
        <w:jc w:val="both"/>
        <w:rPr>
          <w:rFonts w:ascii="Century Gothic" w:hAnsi="Century Gothic"/>
          <w:b/>
          <w:bCs/>
        </w:rPr>
      </w:pPr>
    </w:p>
    <w:p w:rsidR="00974902" w:rsidRDefault="00AF24A7">
      <w:pPr>
        <w:pStyle w:val="PlainText"/>
        <w:ind w:left="720"/>
        <w:jc w:val="center"/>
        <w:rPr>
          <w:rFonts w:ascii="Century Gothic" w:hAnsi="Century Gothic"/>
          <w:b/>
          <w:bCs/>
        </w:rPr>
      </w:pPr>
      <w:r>
        <w:rPr>
          <w:rFonts w:ascii="Century Gothic" w:hAnsi="Century Gothic"/>
          <w:b/>
        </w:rPr>
        <w:br w:type="page"/>
      </w:r>
      <w:r>
        <w:rPr>
          <w:rFonts w:ascii="Century Gothic" w:hAnsi="Century Gothic"/>
          <w:b/>
          <w:bCs/>
        </w:rPr>
        <w:lastRenderedPageBreak/>
        <w:t>OPTION 5</w:t>
      </w:r>
    </w:p>
    <w:p w:rsidR="00974902" w:rsidRDefault="00AF24A7">
      <w:pPr>
        <w:pStyle w:val="PlainText"/>
        <w:ind w:left="720"/>
        <w:jc w:val="center"/>
        <w:rPr>
          <w:rFonts w:ascii="Century Gothic" w:hAnsi="Century Gothic"/>
          <w:b/>
          <w:bCs/>
        </w:rPr>
      </w:pPr>
      <w:r>
        <w:rPr>
          <w:rFonts w:ascii="Century Gothic" w:hAnsi="Century Gothic"/>
          <w:b/>
          <w:bCs/>
        </w:rPr>
        <w:t xml:space="preserve">SMALL CAP PORTFOLIO </w:t>
      </w:r>
    </w:p>
    <w:p w:rsidR="00974902" w:rsidRDefault="00AF24A7">
      <w:pPr>
        <w:pStyle w:val="PlainText"/>
        <w:ind w:left="720"/>
        <w:jc w:val="center"/>
        <w:rPr>
          <w:rFonts w:ascii="Century Gothic" w:hAnsi="Century Gothic"/>
          <w:b/>
          <w:bCs/>
        </w:rPr>
      </w:pPr>
      <w:r>
        <w:rPr>
          <w:rFonts w:ascii="Century Gothic" w:hAnsi="Century Gothic"/>
          <w:b/>
          <w:bCs/>
        </w:rPr>
        <w:t>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Small Cap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  Asset allocation shall be determined based on the average position over any three month time period and shall operate within the following constraints set forth herein:</w:t>
      </w:r>
    </w:p>
    <w:p w:rsidR="00974902" w:rsidRDefault="00974902">
      <w:pPr>
        <w:pStyle w:val="PlainText"/>
        <w:jc w:val="both"/>
        <w:rPr>
          <w:rFonts w:ascii="Century Gothic" w:hAnsi="Century Gothic"/>
          <w:b/>
          <w:bCs/>
        </w:rPr>
      </w:pPr>
    </w:p>
    <w:p w:rsidR="00974902" w:rsidRDefault="00AF24A7">
      <w:pPr>
        <w:pStyle w:val="PlainText"/>
        <w:jc w:val="both"/>
        <w:rPr>
          <w:rFonts w:ascii="Century Gothic" w:hAnsi="Century Gothic"/>
          <w:b/>
          <w:bCs/>
        </w:rPr>
      </w:pPr>
      <w:r>
        <w:rPr>
          <w:rFonts w:ascii="Century Gothic" w:hAnsi="Century Gothic"/>
          <w:b/>
          <w:bCs/>
        </w:rPr>
        <w:t>INVESTMENT GUIDELINES</w:t>
      </w:r>
    </w:p>
    <w:p w:rsidR="00974902" w:rsidRDefault="00974902">
      <w:pPr>
        <w:pStyle w:val="PlainText"/>
        <w:jc w:val="both"/>
        <w:rPr>
          <w:rFonts w:ascii="Century Gothic" w:hAnsi="Century Gothic"/>
          <w:b/>
          <w:bCs/>
        </w:rPr>
      </w:pPr>
    </w:p>
    <w:p w:rsidR="00974902" w:rsidRDefault="00AF24A7">
      <w:pPr>
        <w:pStyle w:val="PlainText"/>
        <w:numPr>
          <w:ilvl w:val="0"/>
          <w:numId w:val="66"/>
        </w:numPr>
        <w:jc w:val="both"/>
        <w:rPr>
          <w:rFonts w:ascii="Century Gothic" w:hAnsi="Century Gothic"/>
        </w:rPr>
      </w:pPr>
      <w:r>
        <w:rPr>
          <w:rFonts w:ascii="Century Gothic" w:hAnsi="Century Gothic"/>
        </w:rPr>
        <w:t xml:space="preserve">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  </w:t>
      </w:r>
    </w:p>
    <w:p w:rsidR="00974902" w:rsidRDefault="00974902">
      <w:pPr>
        <w:pStyle w:val="PlainText"/>
        <w:jc w:val="both"/>
        <w:rPr>
          <w:rFonts w:ascii="Century Gothic" w:hAnsi="Century Gothic"/>
        </w:rPr>
      </w:pPr>
    </w:p>
    <w:p w:rsidR="00974902" w:rsidRDefault="00AF24A7">
      <w:pPr>
        <w:pStyle w:val="PlainText"/>
        <w:numPr>
          <w:ilvl w:val="0"/>
          <w:numId w:val="66"/>
        </w:numPr>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Until such time as the portfolio has sufficient historical data, the manager's reported monthly historical performance data, which shall be in compliance with the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AF24A7">
      <w:pPr>
        <w:pStyle w:val="PlainText"/>
        <w:numPr>
          <w:ilvl w:val="0"/>
          <w:numId w:val="66"/>
        </w:numPr>
        <w:jc w:val="both"/>
        <w:rPr>
          <w:rFonts w:ascii="Century Gothic" w:hAnsi="Century Gothic"/>
        </w:rPr>
      </w:pPr>
      <w:r>
        <w:rPr>
          <w:rFonts w:ascii="Century Gothic" w:hAnsi="Century Gothic"/>
        </w:rPr>
        <w:t xml:space="preserve">Equity investments shall be made only in securities listed on a United States stock exchange or traded on NASDAQ in the United States or in other, recognized domestic markets.  </w:t>
      </w:r>
    </w:p>
    <w:p w:rsidR="00974902" w:rsidRDefault="00974902">
      <w:pPr>
        <w:pStyle w:val="PlainText"/>
        <w:jc w:val="both"/>
        <w:rPr>
          <w:rFonts w:ascii="Century Gothic" w:hAnsi="Century Gothic"/>
          <w:b/>
          <w:bCs/>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Comprehensive Investment Plan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br w:type="page"/>
      </w:r>
      <w:r>
        <w:rPr>
          <w:rFonts w:ascii="Century Gothic" w:hAnsi="Century Gothic"/>
          <w:b/>
        </w:rPr>
        <w:lastRenderedPageBreak/>
        <w:t>RESTRICTED INVESTMENTS</w:t>
      </w:r>
    </w:p>
    <w:p w:rsidR="00974902" w:rsidRDefault="00974902">
      <w:pPr>
        <w:pStyle w:val="PlainText"/>
        <w:jc w:val="both"/>
        <w:rPr>
          <w:rFonts w:ascii="Century Gothic" w:hAnsi="Century Gothic"/>
        </w:rPr>
      </w:pPr>
    </w:p>
    <w:p w:rsidR="00974902" w:rsidRDefault="00AF24A7">
      <w:pPr>
        <w:pStyle w:val="PlainText"/>
        <w:numPr>
          <w:ilvl w:val="0"/>
          <w:numId w:val="67"/>
        </w:numPr>
        <w:tabs>
          <w:tab w:val="clear" w:pos="360"/>
          <w:tab w:val="num" w:pos="720"/>
        </w:tabs>
        <w:jc w:val="both"/>
        <w:rPr>
          <w:rFonts w:ascii="Century Gothic" w:hAnsi="Century Gothic"/>
        </w:rPr>
      </w:pPr>
      <w:r>
        <w:rPr>
          <w:rFonts w:ascii="Century Gothic" w:hAnsi="Century Gothic"/>
        </w:rPr>
        <w:t>Use of margin is prohibited.</w:t>
      </w:r>
    </w:p>
    <w:p w:rsidR="00974902" w:rsidRDefault="00974902">
      <w:pPr>
        <w:pStyle w:val="PlainText"/>
        <w:tabs>
          <w:tab w:val="num" w:pos="720"/>
        </w:tabs>
        <w:jc w:val="both"/>
        <w:rPr>
          <w:rFonts w:ascii="Century Gothic" w:hAnsi="Century Gothic"/>
        </w:rPr>
      </w:pPr>
    </w:p>
    <w:p w:rsidR="00974902" w:rsidRDefault="00AF24A7">
      <w:pPr>
        <w:pStyle w:val="PlainText"/>
        <w:numPr>
          <w:ilvl w:val="0"/>
          <w:numId w:val="67"/>
        </w:numPr>
        <w:tabs>
          <w:tab w:val="clear" w:pos="360"/>
          <w:tab w:val="num" w:pos="720"/>
        </w:tabs>
        <w:jc w:val="both"/>
        <w:rPr>
          <w:rFonts w:ascii="Century Gothic" w:hAnsi="Century Gothic"/>
        </w:rPr>
      </w:pPr>
      <w:r>
        <w:rPr>
          <w:rFonts w:ascii="Century Gothic" w:hAnsi="Century Gothic"/>
        </w:rPr>
        <w:t>Use of options, futures or any other type of derivative securities is prohibited.</w:t>
      </w:r>
    </w:p>
    <w:p w:rsidR="00974902" w:rsidRDefault="00974902">
      <w:pPr>
        <w:pStyle w:val="PlainText"/>
        <w:tabs>
          <w:tab w:val="num" w:pos="720"/>
        </w:tabs>
        <w:jc w:val="both"/>
        <w:rPr>
          <w:rFonts w:ascii="Century Gothic" w:hAnsi="Century Gothic"/>
        </w:rPr>
      </w:pPr>
    </w:p>
    <w:p w:rsidR="00974902" w:rsidRDefault="00AF24A7">
      <w:pPr>
        <w:pStyle w:val="PlainText"/>
        <w:numPr>
          <w:ilvl w:val="0"/>
          <w:numId w:val="67"/>
        </w:numPr>
        <w:tabs>
          <w:tab w:val="clear" w:pos="360"/>
          <w:tab w:val="num" w:pos="720"/>
        </w:tabs>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 xml:space="preserve">A passive manager’s performance is expected to meet the Russell 2000 Index, or other agreed-upon investible benchmark representing the small cap U.S. equity market.  </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Russell 2000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Russell 2000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Russell 2000 Index is expected to rank below the highest quartile of managers in the Small Cap peer group over rolling three year time periods.</w:t>
      </w:r>
    </w:p>
    <w:p w:rsidR="00974902" w:rsidRDefault="00974902">
      <w:pPr>
        <w:pStyle w:val="PlainText"/>
        <w:ind w:left="360"/>
        <w:jc w:val="both"/>
        <w:rPr>
          <w:rFonts w:ascii="Century Gothic" w:hAnsi="Century Gothic"/>
        </w:rPr>
      </w:pPr>
    </w:p>
    <w:p w:rsidR="00974902" w:rsidRDefault="00974902">
      <w:pPr>
        <w:pStyle w:val="PlainText"/>
        <w:jc w:val="both"/>
        <w:rPr>
          <w:rFonts w:ascii="Century Gothic" w:hAnsi="Century Gothic"/>
        </w:rPr>
      </w:pPr>
    </w:p>
    <w:p w:rsidR="00974902" w:rsidRDefault="00AF24A7">
      <w:pPr>
        <w:pStyle w:val="PlainText"/>
        <w:ind w:left="720"/>
        <w:jc w:val="center"/>
        <w:rPr>
          <w:rFonts w:ascii="Century Gothic" w:hAnsi="Century Gothic"/>
          <w:b/>
          <w:bCs/>
        </w:rPr>
      </w:pPr>
      <w:r>
        <w:rPr>
          <w:rFonts w:ascii="Century Gothic" w:hAnsi="Century Gothic"/>
          <w:b/>
          <w:bCs/>
        </w:rPr>
        <w:br w:type="page"/>
      </w:r>
      <w:r>
        <w:rPr>
          <w:rFonts w:ascii="Century Gothic" w:hAnsi="Century Gothic"/>
          <w:b/>
          <w:bCs/>
        </w:rPr>
        <w:lastRenderedPageBreak/>
        <w:t>OPTION 6</w:t>
      </w:r>
    </w:p>
    <w:p w:rsidR="00974902" w:rsidRDefault="00AF24A7">
      <w:pPr>
        <w:pStyle w:val="PlainText"/>
        <w:ind w:left="720"/>
        <w:jc w:val="center"/>
        <w:rPr>
          <w:rFonts w:ascii="Century Gothic" w:hAnsi="Century Gothic"/>
          <w:b/>
          <w:bCs/>
        </w:rPr>
      </w:pPr>
      <w:r>
        <w:rPr>
          <w:rFonts w:ascii="Century Gothic" w:hAnsi="Century Gothic"/>
          <w:b/>
          <w:bCs/>
        </w:rPr>
        <w:t xml:space="preserve">INTERNATIONAL EQUITY PORTFOLIO </w:t>
      </w:r>
    </w:p>
    <w:p w:rsidR="00974902" w:rsidRDefault="00AF24A7">
      <w:pPr>
        <w:pStyle w:val="PlainText"/>
        <w:ind w:left="720"/>
        <w:jc w:val="center"/>
        <w:rPr>
          <w:rFonts w:ascii="Century Gothic" w:hAnsi="Century Gothic"/>
          <w:b/>
          <w:bCs/>
        </w:rPr>
      </w:pPr>
      <w:r>
        <w:rPr>
          <w:rFonts w:ascii="Century Gothic" w:hAnsi="Century Gothic"/>
          <w:b/>
          <w:bCs/>
        </w:rPr>
        <w:t>INVESTMENT GUIDELINES</w:t>
      </w:r>
    </w:p>
    <w:p w:rsidR="00974902" w:rsidRDefault="00974902">
      <w:pPr>
        <w:pStyle w:val="PlainText"/>
        <w:jc w:val="center"/>
        <w:rPr>
          <w:rFonts w:ascii="Century Gothic" w:hAnsi="Century Gothic"/>
          <w:b/>
        </w:rPr>
      </w:pP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International Equity Portfolio is to provide participants an opportunity for meaningful growth of capital over a long investment horizon through participation in equity investments.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relying on the manager's ability to generate return through the selection of securities and not through the timing of market movements.  Therefore, during these time periods the manager shall be allowed to maintain a maximum cash position of not more than five percent.</w:t>
      </w:r>
    </w:p>
    <w:p w:rsidR="00974902" w:rsidRDefault="00974902">
      <w:pPr>
        <w:pStyle w:val="PlainText"/>
        <w:rPr>
          <w:rFonts w:ascii="Century Gothic" w:hAnsi="Century Gothic"/>
          <w:b/>
        </w:rPr>
      </w:pPr>
    </w:p>
    <w:p w:rsidR="00974902" w:rsidRDefault="00AF24A7">
      <w:pPr>
        <w:pStyle w:val="PlainText"/>
        <w:jc w:val="both"/>
        <w:rPr>
          <w:rFonts w:ascii="Century Gothic" w:hAnsi="Century Gothic"/>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numPr>
          <w:ilvl w:val="0"/>
          <w:numId w:val="85"/>
        </w:numPr>
        <w:jc w:val="both"/>
        <w:rPr>
          <w:rFonts w:ascii="Century Gothic" w:hAnsi="Century Gothic"/>
        </w:rPr>
      </w:pPr>
      <w:r>
        <w:rPr>
          <w:rFonts w:ascii="Century Gothic" w:hAnsi="Century Gothic"/>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5"/>
        </w:numPr>
        <w:ind w:left="734"/>
        <w:jc w:val="both"/>
        <w:rPr>
          <w:rFonts w:ascii="Century Gothic" w:hAnsi="Century Gothic"/>
        </w:rPr>
      </w:pPr>
      <w:r>
        <w:rPr>
          <w:rFonts w:ascii="Century Gothic" w:hAnsi="Century Gothic"/>
        </w:rPr>
        <w:t>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Until such time as the portfolio has sufficient historical data, the manager's reported monthly historical performance data, which shall be calculated in a manner consistent with Global Investment Performance Standards (GIPS), shall be utilized in determining portfolio compliance.</w:t>
      </w:r>
    </w:p>
    <w:p w:rsidR="00974902" w:rsidRDefault="00974902">
      <w:pPr>
        <w:pStyle w:val="PlainText"/>
        <w:ind w:left="734"/>
        <w:jc w:val="both"/>
        <w:rPr>
          <w:rFonts w:ascii="Century Gothic" w:hAnsi="Century Gothic"/>
        </w:rPr>
      </w:pP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CASH AND SHORT TERM INVESTMENT GUIDELINES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Cash and cash equivalent investments shall be made in liquid Authorized Investment Vehicles as defined in the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br w:type="page"/>
      </w:r>
      <w:r>
        <w:rPr>
          <w:rFonts w:ascii="Century Gothic" w:hAnsi="Century Gothic"/>
          <w:b/>
        </w:rPr>
        <w:lastRenderedPageBreak/>
        <w:t>RESTRICTED INVESTMENTS</w:t>
      </w:r>
    </w:p>
    <w:p w:rsidR="00974902" w:rsidRDefault="00974902">
      <w:pPr>
        <w:pStyle w:val="PlainText"/>
        <w:jc w:val="both"/>
        <w:rPr>
          <w:rFonts w:ascii="Century Gothic" w:hAnsi="Century Gothic"/>
        </w:rPr>
      </w:pPr>
    </w:p>
    <w:p w:rsidR="00974902" w:rsidRDefault="00AF24A7">
      <w:pPr>
        <w:pStyle w:val="PlainText"/>
        <w:numPr>
          <w:ilvl w:val="0"/>
          <w:numId w:val="86"/>
        </w:numPr>
        <w:jc w:val="both"/>
        <w:rPr>
          <w:rFonts w:ascii="Century Gothic" w:hAnsi="Century Gothic"/>
        </w:rPr>
      </w:pPr>
      <w:r>
        <w:rPr>
          <w:rFonts w:ascii="Century Gothic" w:hAnsi="Century Gothic"/>
        </w:rPr>
        <w:t>The use of currency futures and currency forwards will be permitted subject to the restrictions imposed by Paragraph 16 (entitled “Derivatives”) in the “Authorized Investment Vehicles” section.</w:t>
      </w:r>
    </w:p>
    <w:p w:rsidR="00974902" w:rsidRDefault="00974902">
      <w:pPr>
        <w:pStyle w:val="PlainText"/>
        <w:jc w:val="both"/>
        <w:rPr>
          <w:rFonts w:ascii="Century Gothic" w:hAnsi="Century Gothic"/>
        </w:rPr>
      </w:pPr>
    </w:p>
    <w:p w:rsidR="00974902" w:rsidRDefault="00AF24A7">
      <w:pPr>
        <w:pStyle w:val="PlainText"/>
        <w:numPr>
          <w:ilvl w:val="0"/>
          <w:numId w:val="86"/>
        </w:numPr>
        <w:jc w:val="both"/>
        <w:rPr>
          <w:rFonts w:ascii="Century Gothic" w:hAnsi="Century Gothic"/>
        </w:rPr>
      </w:pPr>
      <w:r>
        <w:rPr>
          <w:rFonts w:ascii="Century Gothic" w:hAnsi="Century Gothic"/>
        </w:rPr>
        <w:t>Use of options, futures, forwards or any other types of derivative securities that are not used for currency hedging purposes are prohibited.</w:t>
      </w:r>
    </w:p>
    <w:p w:rsidR="00974902" w:rsidRDefault="00974902">
      <w:pPr>
        <w:pStyle w:val="PlainText"/>
        <w:jc w:val="both"/>
        <w:rPr>
          <w:rFonts w:ascii="Century Gothic" w:hAnsi="Century Gothic"/>
        </w:rPr>
      </w:pPr>
    </w:p>
    <w:p w:rsidR="00974902" w:rsidRDefault="00AF24A7">
      <w:pPr>
        <w:pStyle w:val="PlainText"/>
        <w:numPr>
          <w:ilvl w:val="0"/>
          <w:numId w:val="86"/>
        </w:numPr>
        <w:jc w:val="both"/>
        <w:rPr>
          <w:rFonts w:ascii="Century Gothic" w:hAnsi="Century Gothic"/>
        </w:rPr>
      </w:pPr>
      <w:r>
        <w:rPr>
          <w:rFonts w:ascii="Century Gothic" w:hAnsi="Century Gothic"/>
        </w:rPr>
        <w:t>Use of margin is prohibited except as may be required in the use of currency futures or forwards.</w:t>
      </w:r>
    </w:p>
    <w:p w:rsidR="00974902" w:rsidRDefault="00974902">
      <w:pPr>
        <w:pStyle w:val="PlainText"/>
        <w:tabs>
          <w:tab w:val="num" w:pos="720"/>
        </w:tabs>
        <w:ind w:left="720" w:hanging="720"/>
        <w:jc w:val="both"/>
        <w:rPr>
          <w:rFonts w:ascii="Century Gothic" w:hAnsi="Century Gothic"/>
        </w:rPr>
      </w:pPr>
    </w:p>
    <w:p w:rsidR="00974902" w:rsidRDefault="00AF24A7">
      <w:pPr>
        <w:pStyle w:val="PlainText"/>
        <w:numPr>
          <w:ilvl w:val="0"/>
          <w:numId w:val="86"/>
        </w:numPr>
        <w:jc w:val="both"/>
        <w:rPr>
          <w:rFonts w:ascii="Century Gothic" w:hAnsi="Century Gothic"/>
        </w:rPr>
      </w:pPr>
      <w:r>
        <w:rPr>
          <w:rFonts w:ascii="Century Gothic" w:hAnsi="Century Gothic"/>
        </w:rPr>
        <w:t>Securities not domiciled, incorporated, or traded in a benchmark country.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b/>
        </w:rPr>
        <w:t>PERFORMANCE OBJECTIVES</w:t>
      </w:r>
    </w:p>
    <w:p w:rsidR="00974902" w:rsidRDefault="00974902">
      <w:pPr>
        <w:pStyle w:val="PlainText"/>
        <w:ind w:hanging="360"/>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rPr>
      </w:pPr>
    </w:p>
    <w:p w:rsidR="00974902" w:rsidRDefault="00AF24A7">
      <w:pPr>
        <w:pStyle w:val="PlainText"/>
        <w:numPr>
          <w:ilvl w:val="0"/>
          <w:numId w:val="68"/>
        </w:numPr>
        <w:ind w:left="360"/>
        <w:jc w:val="both"/>
        <w:rPr>
          <w:rFonts w:ascii="Century Gothic" w:hAnsi="Century Gothic"/>
        </w:rPr>
      </w:pPr>
      <w:r>
        <w:rPr>
          <w:rFonts w:ascii="Century Gothic" w:hAnsi="Century Gothic"/>
        </w:rPr>
        <w:t>A passive manager’s performance is expected to meet the MSCI EAFE Index, or other investible benchmark representing the broad developed international equity markets.</w:t>
      </w:r>
    </w:p>
    <w:p w:rsidR="00974902" w:rsidRDefault="00974902">
      <w:pPr>
        <w:pStyle w:val="PlainText"/>
        <w:tabs>
          <w:tab w:val="num" w:pos="360"/>
        </w:tabs>
        <w:ind w:left="360" w:hanging="360"/>
        <w:jc w:val="both"/>
        <w:rPr>
          <w:rFonts w:ascii="Century Gothic" w:hAnsi="Century Gothic"/>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The beta of the portfolio relative to the index over any two year rolling time period and calculated using monthly data shall not be less than .98 nor greater than 1.02.</w:t>
      </w:r>
    </w:p>
    <w:p w:rsidR="00974902" w:rsidRDefault="00974902">
      <w:pPr>
        <w:pStyle w:val="PlainText"/>
        <w:tabs>
          <w:tab w:val="num" w:pos="360"/>
        </w:tabs>
        <w:ind w:left="360" w:hanging="360"/>
        <w:jc w:val="both"/>
        <w:rPr>
          <w:rFonts w:ascii="Century Gothic" w:hAnsi="Century Gothic"/>
          <w:u w:val="single"/>
        </w:rPr>
      </w:pPr>
    </w:p>
    <w:p w:rsidR="00974902" w:rsidRDefault="00AF24A7">
      <w:pPr>
        <w:pStyle w:val="PlainText"/>
        <w:numPr>
          <w:ilvl w:val="0"/>
          <w:numId w:val="46"/>
        </w:numPr>
        <w:tabs>
          <w:tab w:val="clear" w:pos="630"/>
          <w:tab w:val="num" w:pos="360"/>
        </w:tabs>
        <w:ind w:left="360"/>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Active Managers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Manager performance shall be reviewed relative to the MSCI EAFE Index, over any three or more year period of time, taking into consideration the following:</w:t>
      </w:r>
    </w:p>
    <w:p w:rsidR="00974902" w:rsidRDefault="00974902">
      <w:pPr>
        <w:pStyle w:val="PlainText"/>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manager’s performance, net of fees, is expected to exceed the MSCI EAFE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45"/>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 should generate a positive alpha calculated in accordance to the Jensen methodology.</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tracking error relative to the MSCI EAFE Index is expected to rank below the highest quartile of managers in the International Equity peer group over rolling three year time periods.</w:t>
      </w:r>
    </w:p>
    <w:p w:rsidR="00974902" w:rsidRDefault="00974902">
      <w:pPr>
        <w:pStyle w:val="PlainText"/>
        <w:rPr>
          <w:rFonts w:ascii="Century Gothic" w:hAnsi="Century Gothic"/>
          <w:b/>
        </w:rPr>
      </w:pPr>
    </w:p>
    <w:p w:rsidR="00974902" w:rsidRDefault="00974902">
      <w:pPr>
        <w:pStyle w:val="PlainText"/>
        <w:rPr>
          <w:rFonts w:ascii="Century Gothic" w:hAnsi="Century Gothic"/>
        </w:rPr>
      </w:pPr>
    </w:p>
    <w:p w:rsidR="00974902" w:rsidRDefault="00AF24A7">
      <w:pPr>
        <w:pStyle w:val="PlainText"/>
        <w:jc w:val="center"/>
        <w:rPr>
          <w:rFonts w:ascii="Century Gothic" w:hAnsi="Century Gothic"/>
          <w:b/>
        </w:rPr>
      </w:pPr>
      <w:r>
        <w:rPr>
          <w:rFonts w:ascii="Century Gothic" w:hAnsi="Century Gothic"/>
          <w:b/>
        </w:rPr>
        <w:br w:type="page"/>
      </w:r>
      <w:r>
        <w:rPr>
          <w:rFonts w:ascii="Century Gothic" w:hAnsi="Century Gothic"/>
          <w:b/>
        </w:rPr>
        <w:lastRenderedPageBreak/>
        <w:t>OPTION 7</w:t>
      </w:r>
    </w:p>
    <w:p w:rsidR="00974902" w:rsidRDefault="00AF24A7">
      <w:pPr>
        <w:pStyle w:val="PlainText"/>
        <w:jc w:val="center"/>
        <w:rPr>
          <w:rFonts w:ascii="Century Gothic" w:hAnsi="Century Gothic"/>
          <w:b/>
        </w:rPr>
      </w:pPr>
      <w:r>
        <w:rPr>
          <w:rFonts w:ascii="Century Gothic" w:hAnsi="Century Gothic"/>
          <w:b/>
        </w:rPr>
        <w:t>FIXED-INCOME</w:t>
      </w:r>
    </w:p>
    <w:p w:rsidR="00974902" w:rsidRDefault="00AF24A7">
      <w:pPr>
        <w:pStyle w:val="PlainText"/>
        <w:jc w:val="center"/>
        <w:rPr>
          <w:rFonts w:ascii="Century Gothic" w:hAnsi="Century Gothic"/>
        </w:rPr>
      </w:pPr>
      <w:r>
        <w:rPr>
          <w:rFonts w:ascii="Century Gothic" w:hAnsi="Century Gothic"/>
          <w:b/>
        </w:rPr>
        <w:t>INVESTMENT GUIDELINES</w:t>
      </w:r>
    </w:p>
    <w:p w:rsidR="00974902" w:rsidRDefault="00974902">
      <w:pPr>
        <w:pStyle w:val="PlainText"/>
        <w:rPr>
          <w:rFonts w:ascii="Century Gothic" w:hAnsi="Century Gothic"/>
        </w:rPr>
      </w:pP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 xml:space="preserve">The objective of the fixed income option is to provide participants with a low risk, low volatility option for saving for college expenses. It is expected that this option will be used by those participants with a short horizon to matriculation or with little appetite for short term investment volatility. </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portfolio is expected to be fully invested at all times.  However, cash holdings may represent an integral part of the manager's desired portfolio structure.  Therefore, for purposes of this constraint, cash will be defined as securities with a duration of less than three months and the manager shall be allowed a maximum cash position of not more than five percent.</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b/>
        </w:rPr>
      </w:pPr>
    </w:p>
    <w:p w:rsidR="00974902" w:rsidRDefault="00AF24A7">
      <w:pPr>
        <w:pStyle w:val="PlainText"/>
        <w:numPr>
          <w:ilvl w:val="0"/>
          <w:numId w:val="65"/>
        </w:numPr>
        <w:jc w:val="both"/>
        <w:rPr>
          <w:rFonts w:ascii="Century Gothic" w:hAnsi="Century Gothic"/>
        </w:rPr>
      </w:pPr>
      <w:r>
        <w:rPr>
          <w:rFonts w:ascii="Century Gothic" w:hAnsi="Century Gothic"/>
        </w:rPr>
        <w:t>Fixed income investments will be made only in dollar-denominated securities traded in domestic markets.</w:t>
      </w:r>
    </w:p>
    <w:p w:rsidR="00974902" w:rsidRDefault="00974902">
      <w:pPr>
        <w:pStyle w:val="PlainText"/>
        <w:jc w:val="both"/>
        <w:rPr>
          <w:rFonts w:ascii="Century Gothic" w:hAnsi="Century Gothic"/>
        </w:rPr>
      </w:pPr>
    </w:p>
    <w:p w:rsidR="00974902" w:rsidRDefault="00AF24A7">
      <w:pPr>
        <w:pStyle w:val="PlainText"/>
        <w:numPr>
          <w:ilvl w:val="0"/>
          <w:numId w:val="62"/>
        </w:numPr>
        <w:jc w:val="both"/>
        <w:rPr>
          <w:rFonts w:ascii="Century Gothic" w:hAnsi="Century Gothic"/>
        </w:rPr>
      </w:pPr>
      <w:r>
        <w:rPr>
          <w:rFonts w:ascii="Century Gothic" w:hAnsi="Century Gothic"/>
        </w:rPr>
        <w:t>The portfolio shall maintain a coefficient of determination (R</w:t>
      </w:r>
      <w:r>
        <w:rPr>
          <w:rFonts w:ascii="Century Gothic" w:hAnsi="Century Gothic"/>
          <w:vertAlign w:val="superscript"/>
        </w:rPr>
        <w:t>2</w:t>
      </w:r>
      <w:r>
        <w:rPr>
          <w:rFonts w:ascii="Century Gothic" w:hAnsi="Century Gothic"/>
        </w:rPr>
        <w:t>) to the Barclays Capital Aggregate Index of not less than .90 over any rolling five-year time horizon calculated using monthly data.  Until such time as the portfolio has sufficient historical data, the manager's reported monthly historical performance data, which shall be in compliance with the Global Investment Performance Standards (GIPS), shall be utilized in determining portfolio compliance.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RESTRICTED INVESTMENTS</w:t>
      </w:r>
    </w:p>
    <w:p w:rsidR="00974902" w:rsidRDefault="00974902">
      <w:pPr>
        <w:pStyle w:val="PlainText"/>
        <w:jc w:val="both"/>
        <w:rPr>
          <w:rFonts w:ascii="Century Gothic" w:hAnsi="Century Gothic"/>
        </w:rPr>
      </w:pPr>
    </w:p>
    <w:p w:rsidR="00974902" w:rsidRDefault="00AF24A7">
      <w:pPr>
        <w:pStyle w:val="PlainText"/>
        <w:numPr>
          <w:ilvl w:val="0"/>
          <w:numId w:val="75"/>
        </w:numPr>
        <w:ind w:left="360"/>
        <w:jc w:val="both"/>
        <w:rPr>
          <w:rFonts w:ascii="Century Gothic" w:hAnsi="Century Gothic"/>
        </w:rPr>
      </w:pPr>
      <w:r>
        <w:rPr>
          <w:rFonts w:ascii="Century Gothic" w:hAnsi="Century Gothic"/>
        </w:rPr>
        <w:t xml:space="preserve">Use of margin is prohibited except as may be required in the use of futures, options and swaps. </w:t>
      </w:r>
    </w:p>
    <w:p w:rsidR="00974902" w:rsidRDefault="00974902">
      <w:pPr>
        <w:pStyle w:val="PlainText"/>
        <w:ind w:left="360"/>
        <w:jc w:val="both"/>
        <w:rPr>
          <w:rFonts w:ascii="Century Gothic" w:hAnsi="Century Gothic"/>
        </w:rPr>
      </w:pPr>
    </w:p>
    <w:p w:rsidR="00974902" w:rsidRDefault="00AF24A7">
      <w:pPr>
        <w:pStyle w:val="PlainText"/>
        <w:numPr>
          <w:ilvl w:val="0"/>
          <w:numId w:val="75"/>
        </w:numPr>
        <w:ind w:left="360"/>
        <w:jc w:val="both"/>
        <w:rPr>
          <w:rFonts w:ascii="Century Gothic" w:hAnsi="Century Gothic"/>
        </w:rPr>
      </w:pPr>
      <w:r>
        <w:rPr>
          <w:rFonts w:ascii="Century Gothic" w:hAnsi="Century Gothic"/>
        </w:rPr>
        <w:t>Other than futures, options and swaps, the use of derivative securities that have not been specifically approved by the Board is prohibited.</w:t>
      </w:r>
    </w:p>
    <w:p w:rsidR="00974902" w:rsidRDefault="00974902">
      <w:pPr>
        <w:pStyle w:val="PlainText"/>
        <w:ind w:left="360"/>
        <w:jc w:val="both"/>
        <w:rPr>
          <w:rFonts w:ascii="Century Gothic" w:hAnsi="Century Gothic"/>
        </w:rPr>
      </w:pPr>
    </w:p>
    <w:p w:rsidR="00974902" w:rsidRDefault="00AF24A7">
      <w:pPr>
        <w:pStyle w:val="PlainText"/>
        <w:numPr>
          <w:ilvl w:val="0"/>
          <w:numId w:val="75"/>
        </w:numPr>
        <w:ind w:left="360"/>
        <w:jc w:val="both"/>
        <w:rPr>
          <w:rFonts w:ascii="Century Gothic" w:hAnsi="Century Gothic"/>
        </w:rPr>
      </w:pPr>
      <w:r>
        <w:rPr>
          <w:rFonts w:ascii="Century Gothic" w:hAnsi="Century Gothic"/>
        </w:rPr>
        <w:t>Convertible securities shall not be considered for investment.</w:t>
      </w:r>
    </w:p>
    <w:p w:rsidR="00974902" w:rsidRDefault="00974902">
      <w:pPr>
        <w:pStyle w:val="PlainText"/>
        <w:rPr>
          <w:rFonts w:ascii="Century Gothic" w:hAnsi="Century Gothic"/>
        </w:rPr>
      </w:pPr>
    </w:p>
    <w:p w:rsidR="00974902" w:rsidRDefault="00AF24A7">
      <w:pPr>
        <w:pStyle w:val="PlainText"/>
        <w:rPr>
          <w:rFonts w:ascii="Century Gothic" w:hAnsi="Century Gothic"/>
          <w:b/>
        </w:rPr>
      </w:pPr>
      <w:r>
        <w:rPr>
          <w:rFonts w:ascii="Century Gothic" w:hAnsi="Century Gothic"/>
          <w:b/>
        </w:rPr>
        <w:br w:type="page"/>
      </w:r>
      <w:r>
        <w:rPr>
          <w:rFonts w:ascii="Century Gothic" w:hAnsi="Century Gothic"/>
          <w:b/>
        </w:rPr>
        <w:lastRenderedPageBreak/>
        <w:t>PERFORMANCE OBJECTIVES</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u w:val="single"/>
        </w:rPr>
      </w:pPr>
      <w:r>
        <w:rPr>
          <w:rFonts w:ascii="Century Gothic" w:hAnsi="Century Gothic"/>
          <w:u w:val="single"/>
        </w:rPr>
        <w:t>Passive Managers</w:t>
      </w:r>
    </w:p>
    <w:p w:rsidR="00974902" w:rsidRDefault="00974902">
      <w:pPr>
        <w:pStyle w:val="PlainText"/>
        <w:jc w:val="both"/>
        <w:rPr>
          <w:rFonts w:ascii="Century Gothic" w:hAnsi="Century Gothic"/>
          <w:u w:val="single"/>
        </w:rPr>
      </w:pPr>
    </w:p>
    <w:p w:rsidR="00974902" w:rsidRDefault="00AF24A7">
      <w:pPr>
        <w:pStyle w:val="PlainText"/>
        <w:numPr>
          <w:ilvl w:val="0"/>
          <w:numId w:val="38"/>
        </w:numPr>
        <w:jc w:val="both"/>
        <w:rPr>
          <w:rFonts w:ascii="Century Gothic" w:hAnsi="Century Gothic"/>
        </w:rPr>
      </w:pPr>
      <w:r>
        <w:rPr>
          <w:rFonts w:ascii="Century Gothic" w:hAnsi="Century Gothic"/>
        </w:rPr>
        <w:t>For passive managers, the manager’s performance is expected to meet the Barclays Capital Aggregate Index.</w:t>
      </w:r>
    </w:p>
    <w:p w:rsidR="00974902" w:rsidRDefault="00974902">
      <w:pPr>
        <w:pStyle w:val="PlainText"/>
        <w:ind w:left="360"/>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15 basis points.</w:t>
      </w:r>
    </w:p>
    <w:p w:rsidR="00974902" w:rsidRDefault="00974902">
      <w:pPr>
        <w:pStyle w:val="PlainText"/>
        <w:rPr>
          <w:rFonts w:ascii="Century Gothic" w:hAnsi="Century Gothic"/>
        </w:rPr>
      </w:pPr>
    </w:p>
    <w:p w:rsidR="00974902" w:rsidRDefault="00AF24A7">
      <w:pPr>
        <w:pStyle w:val="PlainText"/>
        <w:rPr>
          <w:rFonts w:ascii="Century Gothic" w:hAnsi="Century Gothic"/>
          <w:u w:val="single"/>
        </w:rPr>
      </w:pPr>
      <w:r>
        <w:rPr>
          <w:rFonts w:ascii="Century Gothic" w:hAnsi="Century Gothic"/>
          <w:u w:val="single"/>
        </w:rPr>
        <w:t>Active Managers</w:t>
      </w:r>
    </w:p>
    <w:p w:rsidR="00974902" w:rsidRDefault="00974902">
      <w:pPr>
        <w:pStyle w:val="PlainText"/>
        <w:rPr>
          <w:rFonts w:ascii="Century Gothic" w:hAnsi="Century Gothic"/>
        </w:rPr>
      </w:pPr>
    </w:p>
    <w:p w:rsidR="00974902" w:rsidRDefault="00AF24A7">
      <w:pPr>
        <w:pStyle w:val="PlainText"/>
        <w:rPr>
          <w:rFonts w:ascii="Century Gothic" w:hAnsi="Century Gothic"/>
        </w:rPr>
      </w:pPr>
      <w:r>
        <w:rPr>
          <w:rFonts w:ascii="Century Gothic" w:hAnsi="Century Gothic"/>
        </w:rPr>
        <w:t>Manager performance shall be reviewed relative to the Bloomberg Barclays Capital Aggregate Index over any three to five year period, taking into consideration the following:</w:t>
      </w:r>
    </w:p>
    <w:p w:rsidR="00974902" w:rsidRDefault="00AF24A7">
      <w:pPr>
        <w:pStyle w:val="PlainText"/>
        <w:numPr>
          <w:ilvl w:val="0"/>
          <w:numId w:val="76"/>
        </w:numPr>
        <w:rPr>
          <w:rFonts w:ascii="Century Gothic" w:hAnsi="Century Gothic"/>
        </w:rPr>
      </w:pPr>
      <w:r>
        <w:rPr>
          <w:rFonts w:ascii="Century Gothic" w:hAnsi="Century Gothic"/>
        </w:rPr>
        <w:t>The manager’s performance, net of fees, is expected to exceed the Bloomberg Barclays Capital Aggregate Index, taking into consideration the degree of risk.</w:t>
      </w:r>
    </w:p>
    <w:p w:rsidR="00974902" w:rsidRDefault="00974902">
      <w:pPr>
        <w:pStyle w:val="PlainText"/>
        <w:jc w:val="both"/>
        <w:rPr>
          <w:rFonts w:ascii="Century Gothic" w:hAnsi="Century Gothic"/>
        </w:rPr>
      </w:pPr>
    </w:p>
    <w:p w:rsidR="00974902" w:rsidRDefault="00AF24A7">
      <w:pPr>
        <w:pStyle w:val="PlainText"/>
        <w:numPr>
          <w:ilvl w:val="0"/>
          <w:numId w:val="38"/>
        </w:numPr>
        <w:jc w:val="both"/>
        <w:rPr>
          <w:rFonts w:ascii="Century Gothic" w:hAnsi="Century Gothic"/>
        </w:rPr>
      </w:pPr>
      <w:r>
        <w:rPr>
          <w:rFonts w:ascii="Century Gothic" w:hAnsi="Century Gothic"/>
        </w:rPr>
        <w:t>The manager’s performance is expected to rank at or above the median when compared to a universe of its peers managing similar portfolios and following a similar investment style.</w:t>
      </w:r>
    </w:p>
    <w:p w:rsidR="00974902" w:rsidRDefault="00974902">
      <w:pPr>
        <w:pStyle w:val="PlainText"/>
        <w:ind w:left="360"/>
        <w:jc w:val="both"/>
        <w:rPr>
          <w:rFonts w:ascii="Century Gothic" w:hAnsi="Century Gothic"/>
        </w:rPr>
      </w:pPr>
    </w:p>
    <w:p w:rsidR="00974902" w:rsidRDefault="00AF24A7">
      <w:pPr>
        <w:pStyle w:val="PlainText"/>
        <w:numPr>
          <w:ilvl w:val="0"/>
          <w:numId w:val="39"/>
        </w:numPr>
        <w:jc w:val="both"/>
        <w:rPr>
          <w:rFonts w:ascii="Century Gothic" w:hAnsi="Century Gothic"/>
        </w:rPr>
      </w:pPr>
      <w:r>
        <w:rPr>
          <w:rFonts w:ascii="Century Gothic" w:hAnsi="Century Gothic"/>
        </w:rPr>
        <w:t>The effectiveness of the manager's duration, sector and security allocations will be reviewed to determine if the manager has demonstrated, on a total return basis, the ability to add value above the Index.</w:t>
      </w:r>
    </w:p>
    <w:p w:rsidR="00974902" w:rsidRDefault="00974902">
      <w:pPr>
        <w:pStyle w:val="PlainText"/>
        <w:ind w:left="360"/>
        <w:jc w:val="both"/>
        <w:rPr>
          <w:rFonts w:ascii="Century Gothic" w:hAnsi="Century Gothic"/>
        </w:rPr>
      </w:pPr>
    </w:p>
    <w:p w:rsidR="00974902" w:rsidRDefault="00974902">
      <w:pPr>
        <w:pStyle w:val="PlainText"/>
        <w:rPr>
          <w:rFonts w:ascii="Century Gothic" w:hAnsi="Century Gothic"/>
          <w:u w:val="single"/>
        </w:rPr>
      </w:pPr>
    </w:p>
    <w:p w:rsidR="00974902" w:rsidRDefault="00974902">
      <w:pPr>
        <w:pStyle w:val="PlainText"/>
        <w:rPr>
          <w:rFonts w:ascii="Century Gothic" w:hAnsi="Century Gothic"/>
          <w:u w:val="single"/>
        </w:rPr>
      </w:pPr>
    </w:p>
    <w:p w:rsidR="00974902" w:rsidRDefault="00AF24A7">
      <w:pPr>
        <w:pStyle w:val="PlainText"/>
        <w:rPr>
          <w:rFonts w:ascii="Century Gothic" w:hAnsi="Century Gothic"/>
          <w:b/>
        </w:rPr>
      </w:pPr>
      <w:r>
        <w:rPr>
          <w:rFonts w:ascii="Century Gothic" w:hAnsi="Century Gothic"/>
        </w:rPr>
        <w:br w:type="page"/>
      </w:r>
    </w:p>
    <w:p w:rsidR="00974902" w:rsidRDefault="00AF24A7">
      <w:pPr>
        <w:pStyle w:val="PlainText"/>
        <w:jc w:val="center"/>
        <w:rPr>
          <w:rFonts w:ascii="Century Gothic" w:hAnsi="Century Gothic"/>
          <w:b/>
        </w:rPr>
      </w:pPr>
      <w:r>
        <w:rPr>
          <w:rFonts w:ascii="Century Gothic" w:hAnsi="Century Gothic"/>
          <w:b/>
        </w:rPr>
        <w:lastRenderedPageBreak/>
        <w:t>OPTION 8</w:t>
      </w:r>
    </w:p>
    <w:p w:rsidR="00974902" w:rsidRDefault="00AF24A7">
      <w:pPr>
        <w:pStyle w:val="PlainText"/>
        <w:jc w:val="center"/>
        <w:rPr>
          <w:rFonts w:ascii="Century Gothic" w:hAnsi="Century Gothic"/>
          <w:b/>
        </w:rPr>
      </w:pPr>
      <w:r>
        <w:rPr>
          <w:rFonts w:ascii="Century Gothic" w:hAnsi="Century Gothic"/>
          <w:b/>
        </w:rPr>
        <w:t>MONEY MARKET OPTION</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rPr>
          <w:rFonts w:ascii="Century Gothic" w:hAnsi="Century Gothic"/>
          <w:b/>
        </w:rPr>
      </w:pPr>
    </w:p>
    <w:p w:rsidR="00974902" w:rsidRDefault="00974902">
      <w:pPr>
        <w:pStyle w:val="PlainText"/>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bCs/>
        </w:rPr>
      </w:pPr>
    </w:p>
    <w:p w:rsidR="00974902" w:rsidRDefault="00AF24A7">
      <w:pPr>
        <w:pStyle w:val="PlainText"/>
        <w:jc w:val="both"/>
        <w:rPr>
          <w:rFonts w:ascii="Century Gothic" w:hAnsi="Century Gothic"/>
          <w:bCs/>
        </w:rPr>
      </w:pPr>
      <w:r>
        <w:rPr>
          <w:rFonts w:ascii="Century Gothic" w:hAnsi="Century Gothic"/>
          <w:bCs/>
        </w:rPr>
        <w:t xml:space="preserve">The Money Market option seeks high current income consistent with liquidity, interest income and capital preservation.    </w:t>
      </w:r>
    </w:p>
    <w:p w:rsidR="00974902" w:rsidRDefault="00974902">
      <w:pPr>
        <w:pStyle w:val="PlainText"/>
        <w:jc w:val="both"/>
        <w:rPr>
          <w:rFonts w:ascii="Century Gothic" w:hAnsi="Century Gothic"/>
          <w:bCs/>
          <w:u w:val="single"/>
        </w:rPr>
      </w:pPr>
    </w:p>
    <w:p w:rsidR="00974902" w:rsidRDefault="00AF24A7">
      <w:pPr>
        <w:pStyle w:val="PlainText"/>
        <w:jc w:val="both"/>
        <w:rPr>
          <w:rFonts w:ascii="Century Gothic" w:hAnsi="Century Gothic"/>
          <w:bCs/>
        </w:rPr>
      </w:pPr>
      <w:r>
        <w:rPr>
          <w:rFonts w:ascii="Century Gothic" w:hAnsi="Century Gothic"/>
          <w:b/>
        </w:rPr>
        <w:t>ASSET ALLOCATION</w:t>
      </w:r>
    </w:p>
    <w:p w:rsidR="00974902" w:rsidRDefault="00974902">
      <w:pPr>
        <w:pStyle w:val="PlainText"/>
        <w:jc w:val="both"/>
        <w:rPr>
          <w:rFonts w:ascii="Century Gothic" w:hAnsi="Century Gothic"/>
          <w:bCs/>
        </w:rPr>
      </w:pPr>
    </w:p>
    <w:p w:rsidR="00974902" w:rsidRDefault="00AF24A7">
      <w:pPr>
        <w:pStyle w:val="PlainText"/>
        <w:jc w:val="both"/>
        <w:rPr>
          <w:rFonts w:ascii="Century Gothic" w:hAnsi="Century Gothic"/>
          <w:bCs/>
        </w:rPr>
      </w:pPr>
      <w:r>
        <w:rPr>
          <w:rFonts w:ascii="Century Gothic" w:hAnsi="Century Gothic"/>
          <w:bCs/>
        </w:rPr>
        <w:t xml:space="preserve">The assets of each participant’s account will be invested in Option 8 in accordance with the guidelines described under the “Investment Options” section of this CIP.  </w:t>
      </w:r>
    </w:p>
    <w:p w:rsidR="00974902" w:rsidRDefault="00974902">
      <w:pPr>
        <w:pStyle w:val="PlainText"/>
        <w:jc w:val="both"/>
        <w:rPr>
          <w:rFonts w:ascii="Century Gothic" w:hAnsi="Century Gothic"/>
          <w:bCs/>
          <w:u w:val="single"/>
        </w:rPr>
      </w:pPr>
    </w:p>
    <w:p w:rsidR="00974902" w:rsidRDefault="00AF24A7">
      <w:pPr>
        <w:pStyle w:val="PlainText"/>
        <w:jc w:val="both"/>
        <w:rPr>
          <w:rFonts w:ascii="Century Gothic" w:hAnsi="Century Gothic"/>
          <w:bCs/>
        </w:rPr>
      </w:pPr>
      <w:r>
        <w:rPr>
          <w:rFonts w:ascii="Century Gothic" w:hAnsi="Century Gothic"/>
          <w:b/>
        </w:rPr>
        <w:t>INVESTMENT GUIDELINES</w:t>
      </w:r>
    </w:p>
    <w:p w:rsidR="00974902" w:rsidRDefault="00974902">
      <w:pPr>
        <w:pStyle w:val="PlainText"/>
        <w:jc w:val="both"/>
        <w:rPr>
          <w:rFonts w:ascii="Century Gothic" w:hAnsi="Century Gothic"/>
          <w:bCs/>
        </w:rPr>
      </w:pPr>
    </w:p>
    <w:p w:rsidR="00974902" w:rsidRDefault="00AF24A7">
      <w:pPr>
        <w:pStyle w:val="PlainText"/>
        <w:jc w:val="both"/>
        <w:rPr>
          <w:rFonts w:ascii="Century Gothic" w:hAnsi="Century Gothic"/>
          <w:bCs/>
        </w:rPr>
      </w:pPr>
      <w:r>
        <w:rPr>
          <w:rFonts w:ascii="Century Gothic" w:hAnsi="Century Gothic"/>
          <w:bCs/>
        </w:rPr>
        <w:t>The Money Market Option may invest in highly liquid money market instruments and fixed income securities with maturities not to exceed two years. The average portfolio maturity is not to exceed 6 months, notwithstanding the objective of preservation of capital. The minimum rating criteria for securities to be purchased in this paper are A1/P1 or an equivalent rating by two nationally recognized rating services.</w:t>
      </w:r>
    </w:p>
    <w:p w:rsidR="00974902" w:rsidRDefault="00974902">
      <w:pPr>
        <w:pStyle w:val="PlainText"/>
        <w:rPr>
          <w:rFonts w:ascii="Century Gothic" w:hAnsi="Century Gothic"/>
          <w:bCs/>
        </w:rPr>
      </w:pPr>
    </w:p>
    <w:p w:rsidR="00974902" w:rsidRDefault="00AF24A7">
      <w:pPr>
        <w:pStyle w:val="PlainText"/>
        <w:jc w:val="both"/>
        <w:rPr>
          <w:rFonts w:ascii="Century Gothic" w:hAnsi="Century Gothic"/>
          <w:bCs/>
        </w:rPr>
      </w:pPr>
      <w:r>
        <w:rPr>
          <w:rFonts w:ascii="Century Gothic" w:hAnsi="Century Gothic"/>
          <w:b/>
        </w:rPr>
        <w:t>PERFORMANCE OBJECTIVES</w:t>
      </w:r>
    </w:p>
    <w:p w:rsidR="00974902" w:rsidRDefault="00974902">
      <w:pPr>
        <w:pStyle w:val="PlainText"/>
        <w:jc w:val="both"/>
        <w:rPr>
          <w:rFonts w:ascii="Century Gothic" w:hAnsi="Century Gothic"/>
          <w:bCs/>
        </w:rPr>
      </w:pPr>
    </w:p>
    <w:p w:rsidR="00974902" w:rsidRDefault="00AF24A7">
      <w:pPr>
        <w:pStyle w:val="PlainText"/>
        <w:jc w:val="both"/>
        <w:rPr>
          <w:rFonts w:ascii="Century Gothic" w:hAnsi="Century Gothic"/>
          <w:bCs/>
        </w:rPr>
      </w:pPr>
      <w:r>
        <w:rPr>
          <w:rFonts w:ascii="Century Gothic" w:hAnsi="Century Gothic"/>
          <w:bCs/>
        </w:rPr>
        <w:t>The performance of the money market fund shall be reviewed against a composite 91 day Treasury Bills index and a universe of other money market funds.</w:t>
      </w: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AF24A7">
      <w:pPr>
        <w:pStyle w:val="PlainText"/>
        <w:jc w:val="center"/>
        <w:rPr>
          <w:rFonts w:ascii="Century Gothic" w:hAnsi="Century Gothic"/>
          <w:b/>
        </w:rPr>
      </w:pPr>
      <w:r>
        <w:rPr>
          <w:rFonts w:ascii="Century Gothic" w:hAnsi="Century Gothic"/>
          <w:b/>
        </w:rPr>
        <w:br w:type="page"/>
      </w:r>
      <w:r>
        <w:rPr>
          <w:rFonts w:ascii="Century Gothic" w:hAnsi="Century Gothic"/>
          <w:b/>
        </w:rPr>
        <w:lastRenderedPageBreak/>
        <w:t xml:space="preserve">OPTION 9 </w:t>
      </w:r>
    </w:p>
    <w:p w:rsidR="00974902" w:rsidRDefault="00AF24A7">
      <w:pPr>
        <w:pStyle w:val="PlainText"/>
        <w:jc w:val="center"/>
        <w:rPr>
          <w:rFonts w:ascii="Century Gothic" w:hAnsi="Century Gothic"/>
          <w:b/>
        </w:rPr>
      </w:pPr>
      <w:r>
        <w:rPr>
          <w:rFonts w:ascii="Century Gothic" w:hAnsi="Century Gothic"/>
          <w:b/>
        </w:rPr>
        <w:t>EQUITY OPTION</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center"/>
        <w:rPr>
          <w:rFonts w:ascii="Century Gothic" w:hAnsi="Century Gothic"/>
          <w:b/>
        </w:rPr>
      </w:pPr>
    </w:p>
    <w:p w:rsidR="00974902" w:rsidRDefault="00974902">
      <w:pPr>
        <w:pStyle w:val="PlainText"/>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The objective of the equity option is to provide participants an opportunity for meaningful growth of capital over a long investment horizon through participation in diversified equity investments.  Participants invest in a pre-packaged equity option diversified across investment styles and market capitalization.</w:t>
      </w:r>
    </w:p>
    <w:p w:rsidR="00974902" w:rsidRDefault="00974902">
      <w:pPr>
        <w:pStyle w:val="PlainText"/>
        <w:jc w:val="both"/>
        <w:rPr>
          <w:rFonts w:ascii="Century Gothic" w:hAnsi="Century Gothic"/>
          <w:b/>
        </w:rPr>
      </w:pP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rPr>
      </w:pPr>
      <w:r>
        <w:rPr>
          <w:rFonts w:ascii="Century Gothic" w:hAnsi="Century Gothic"/>
        </w:rPr>
        <w:t>Option 9 will be a diversified allocation of twenty percent allocated to a domestic large capitalization growth portfolio (Option 1), twenty percent to a domestic large capitalization value portfolio (Option 2), twenty percent to a U. S. large capitalization index portfolio (Option 3), ten percent to a mid-capitalization portfolio (Option 4), ten percent allocated to a small capitalization portfolio (Option 5) and twenty percent allocated to an international equity portfolio (Option 6).</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Allocations to the underlying equity portfolios will be rebalanced periodically according to the rebalancing guidelines specified the rebalancing section of this CIP.</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investment guidelines under Options 1 through 6, above, will apply to each respective portion of Option 9.</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PERFORMANCE OBJECTIVES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performance objectives specified in Options 1 through 6, above, will apply to each respective portion of Option 9.</w:t>
      </w:r>
    </w:p>
    <w:p w:rsidR="00974902" w:rsidRDefault="00974902">
      <w:pPr>
        <w:pStyle w:val="PlainText"/>
        <w:jc w:val="both"/>
        <w:rPr>
          <w:rFonts w:ascii="Century Gothic" w:hAnsi="Century Gothic"/>
          <w:b/>
        </w:rPr>
      </w:pPr>
    </w:p>
    <w:p w:rsidR="00974902" w:rsidRDefault="00974902">
      <w:pPr>
        <w:pStyle w:val="PlainText"/>
        <w:jc w:val="center"/>
        <w:rPr>
          <w:rFonts w:ascii="Century Gothic" w:hAnsi="Century Gothic"/>
          <w:b/>
        </w:rPr>
      </w:pPr>
    </w:p>
    <w:p w:rsidR="00974902" w:rsidRDefault="00974902">
      <w:pPr>
        <w:pStyle w:val="PlainText"/>
        <w:jc w:val="center"/>
        <w:rPr>
          <w:rFonts w:ascii="Century Gothic" w:hAnsi="Century Gothic"/>
          <w:b/>
        </w:rPr>
      </w:pPr>
    </w:p>
    <w:p w:rsidR="00974902" w:rsidRDefault="00AF24A7">
      <w:pPr>
        <w:pStyle w:val="PlainText"/>
        <w:jc w:val="center"/>
        <w:rPr>
          <w:rFonts w:ascii="Century Gothic" w:hAnsi="Century Gothic"/>
          <w:b/>
        </w:rPr>
      </w:pPr>
      <w:r>
        <w:rPr>
          <w:rFonts w:ascii="Century Gothic" w:hAnsi="Century Gothic"/>
          <w:b/>
        </w:rPr>
        <w:br w:type="page"/>
      </w:r>
      <w:r>
        <w:rPr>
          <w:rFonts w:ascii="Century Gothic" w:hAnsi="Century Gothic"/>
          <w:b/>
        </w:rPr>
        <w:lastRenderedPageBreak/>
        <w:t>OPTION 10</w:t>
      </w:r>
    </w:p>
    <w:p w:rsidR="00974902" w:rsidRDefault="00AF24A7">
      <w:pPr>
        <w:pStyle w:val="PlainText"/>
        <w:jc w:val="center"/>
        <w:rPr>
          <w:rFonts w:ascii="Century Gothic" w:hAnsi="Century Gothic"/>
          <w:b/>
        </w:rPr>
      </w:pPr>
      <w:r>
        <w:rPr>
          <w:rFonts w:ascii="Century Gothic" w:hAnsi="Century Gothic"/>
          <w:b/>
        </w:rPr>
        <w:t>BALANCED OPTION</w:t>
      </w:r>
    </w:p>
    <w:p w:rsidR="00974902" w:rsidRDefault="00AF24A7">
      <w:pPr>
        <w:pStyle w:val="PlainText"/>
        <w:jc w:val="center"/>
        <w:rPr>
          <w:rFonts w:ascii="Century Gothic" w:hAnsi="Century Gothic"/>
        </w:rPr>
      </w:pPr>
      <w:r>
        <w:rPr>
          <w:rFonts w:ascii="Century Gothic" w:hAnsi="Century Gothic"/>
          <w:b/>
        </w:rPr>
        <w:t>INVESTMENT GUIDELINES</w:t>
      </w:r>
    </w:p>
    <w:p w:rsidR="00974902" w:rsidRDefault="00974902">
      <w:pPr>
        <w:pStyle w:val="PlainText"/>
        <w:rPr>
          <w:rFonts w:ascii="Century Gothic" w:hAnsi="Century Gothic"/>
        </w:rPr>
      </w:pP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objective of the balanced investment option is to provide participants with an opportunity to generate long term growth of capital, but with less short-term volatility than the all-equity investment option.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Option 10 will be a blend of fixed income (Option 7) and equity (Option 9) and is expected to be fully invested at all times, relying on the manager's ability to generate return through interest rate anticipation and security selection, not through the timing of market movements. Allocations to the underlying fixed income and equity portfolios will be rebalanced periodically according to the rebalancing guidelines specified the rebalancing section of this CIP.</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investment guidelines under Options 7 and 9, above, will apply to each respective portion of Option 10.</w:t>
      </w:r>
    </w:p>
    <w:p w:rsidR="00974902" w:rsidRDefault="00974902">
      <w:pPr>
        <w:pStyle w:val="PlainText"/>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PERFORMANCE OBJECTIVES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Cs/>
        </w:rPr>
      </w:pPr>
      <w:r>
        <w:rPr>
          <w:rFonts w:ascii="Century Gothic" w:hAnsi="Century Gothic"/>
          <w:bCs/>
        </w:rPr>
        <w:t>The performance objectives specified in Options 7 and 9, above, will apply to each respective portion of Option 10.</w:t>
      </w:r>
    </w:p>
    <w:p w:rsidR="00974902" w:rsidRDefault="00974902">
      <w:pPr>
        <w:pStyle w:val="PlainText"/>
        <w:jc w:val="both"/>
        <w:rPr>
          <w:rFonts w:ascii="Century Gothic" w:hAnsi="Century Gothic"/>
        </w:rPr>
      </w:pPr>
    </w:p>
    <w:p w:rsidR="00974902" w:rsidRDefault="00974902">
      <w:pPr>
        <w:pStyle w:val="PlainText"/>
        <w:rPr>
          <w:rFonts w:ascii="Century Gothic" w:hAnsi="Century Gothic"/>
          <w:strike/>
        </w:rPr>
      </w:pPr>
    </w:p>
    <w:p w:rsidR="00974902" w:rsidRDefault="00AF24A7">
      <w:pPr>
        <w:pStyle w:val="PlainText"/>
        <w:jc w:val="center"/>
        <w:rPr>
          <w:rFonts w:ascii="Century Gothic" w:hAnsi="Century Gothic"/>
          <w:b/>
        </w:rPr>
      </w:pPr>
      <w:r>
        <w:rPr>
          <w:rFonts w:ascii="Century Gothic" w:hAnsi="Century Gothic"/>
          <w:b/>
        </w:rPr>
        <w:br w:type="page"/>
      </w:r>
      <w:r>
        <w:rPr>
          <w:rFonts w:ascii="Century Gothic" w:hAnsi="Century Gothic"/>
          <w:b/>
        </w:rPr>
        <w:lastRenderedPageBreak/>
        <w:t xml:space="preserve"> OPTION 11</w:t>
      </w:r>
    </w:p>
    <w:p w:rsidR="00974902" w:rsidRDefault="00AF24A7">
      <w:pPr>
        <w:pStyle w:val="PlainText"/>
        <w:jc w:val="center"/>
        <w:rPr>
          <w:rFonts w:ascii="Century Gothic" w:hAnsi="Century Gothic"/>
          <w:b/>
        </w:rPr>
      </w:pPr>
      <w:r>
        <w:rPr>
          <w:rFonts w:ascii="Century Gothic" w:hAnsi="Century Gothic"/>
          <w:b/>
        </w:rPr>
        <w:t>AGE-BASED</w:t>
      </w:r>
    </w:p>
    <w:p w:rsidR="00974902" w:rsidRDefault="00AF24A7">
      <w:pPr>
        <w:pStyle w:val="PlainText"/>
        <w:jc w:val="center"/>
        <w:rPr>
          <w:rFonts w:ascii="Century Gothic" w:hAnsi="Century Gothic"/>
          <w:b/>
        </w:rPr>
      </w:pPr>
      <w:r>
        <w:rPr>
          <w:rFonts w:ascii="Century Gothic" w:hAnsi="Century Gothic"/>
          <w:b/>
        </w:rPr>
        <w:t>INVESTMENT GUIDELINES</w:t>
      </w:r>
    </w:p>
    <w:p w:rsidR="00974902" w:rsidRDefault="00974902">
      <w:pPr>
        <w:pStyle w:val="PlainText"/>
        <w:jc w:val="center"/>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OBJECTIVE</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age-based investment option is intended to provide Program participants with an asset allocation profile that links the amount of volatility in the portfolio directly to the investment horizon of the participant. As the participant approaches the date at which account balances will be used for college expenses, a lower tolerance for risk is assumed and the equity component of the portfolio is reduced accordingly.</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ASSET ALLOCATION</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assets of each participant’s account will be invested in fixed income (Option 7) and equity (Option 9) in accordance with the guidelines described under the “Investment Options” section of this CIP. The Board may periodically request a review to ensure that participant balances are managed in accordance with these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b/>
        </w:rPr>
      </w:pPr>
      <w:r>
        <w:rPr>
          <w:rFonts w:ascii="Century Gothic" w:hAnsi="Century Gothic"/>
          <w:b/>
        </w:rPr>
        <w:t>INVESTMENT GUIDELINES</w:t>
      </w:r>
    </w:p>
    <w:p w:rsidR="00974902" w:rsidRDefault="00974902">
      <w:pPr>
        <w:pStyle w:val="PlainText"/>
        <w:jc w:val="both"/>
        <w:rPr>
          <w:rFonts w:ascii="Century Gothic" w:hAnsi="Century Gothic"/>
        </w:rPr>
      </w:pPr>
    </w:p>
    <w:p w:rsidR="00974902" w:rsidRDefault="00AF24A7">
      <w:pPr>
        <w:pStyle w:val="PlainText"/>
        <w:jc w:val="both"/>
        <w:rPr>
          <w:rFonts w:ascii="Century Gothic" w:hAnsi="Century Gothic"/>
        </w:rPr>
      </w:pPr>
      <w:r>
        <w:rPr>
          <w:rFonts w:ascii="Century Gothic" w:hAnsi="Century Gothic"/>
        </w:rPr>
        <w:t>The investment guidelines specified in Options 7 and 9, above, will apply to each account balance maintained under Option 11.</w:t>
      </w:r>
    </w:p>
    <w:p w:rsidR="00974902" w:rsidRDefault="00974902">
      <w:pPr>
        <w:pStyle w:val="PlainText"/>
        <w:rPr>
          <w:rFonts w:ascii="Century Gothic" w:hAnsi="Century Gothic"/>
          <w:b/>
        </w:rPr>
      </w:pPr>
    </w:p>
    <w:p w:rsidR="00974902" w:rsidRDefault="00AF24A7">
      <w:pPr>
        <w:pStyle w:val="PlainText"/>
        <w:jc w:val="both"/>
        <w:rPr>
          <w:rFonts w:ascii="Century Gothic" w:hAnsi="Century Gothic"/>
          <w:b/>
        </w:rPr>
      </w:pPr>
      <w:r>
        <w:rPr>
          <w:rFonts w:ascii="Century Gothic" w:hAnsi="Century Gothic"/>
          <w:b/>
        </w:rPr>
        <w:t>PERFORMANCE OBJECTIVES</w:t>
      </w:r>
    </w:p>
    <w:p w:rsidR="00974902" w:rsidRDefault="00974902">
      <w:pPr>
        <w:pStyle w:val="PlainText"/>
        <w:jc w:val="both"/>
        <w:rPr>
          <w:rFonts w:ascii="Century Gothic" w:hAnsi="Century Gothic"/>
          <w:b/>
        </w:rPr>
      </w:pPr>
    </w:p>
    <w:p w:rsidR="00974902" w:rsidRDefault="00AF24A7">
      <w:pPr>
        <w:pStyle w:val="PlainText"/>
        <w:jc w:val="both"/>
        <w:rPr>
          <w:rFonts w:ascii="Century Gothic" w:hAnsi="Century Gothic"/>
          <w:bCs/>
        </w:rPr>
        <w:sectPr w:rsidR="00974902">
          <w:footerReference w:type="default" r:id="rId21"/>
          <w:footerReference w:type="first" r:id="rId22"/>
          <w:pgSz w:w="12240" w:h="15840"/>
          <w:pgMar w:top="1080" w:right="1080" w:bottom="1080" w:left="1080" w:header="720" w:footer="720" w:gutter="0"/>
          <w:pgNumType w:start="1"/>
          <w:cols w:space="720"/>
          <w:titlePg/>
          <w:docGrid w:linePitch="360"/>
        </w:sectPr>
      </w:pPr>
      <w:r>
        <w:rPr>
          <w:rFonts w:ascii="Century Gothic" w:hAnsi="Century Gothic"/>
          <w:bCs/>
        </w:rPr>
        <w:t>The performance objectives specified in Options 7 and 9, above, will apply to each</w:t>
      </w:r>
      <w:r>
        <w:rPr>
          <w:rFonts w:ascii="Century Gothic" w:hAnsi="Century Gothic"/>
        </w:rPr>
        <w:t xml:space="preserve"> </w:t>
      </w:r>
      <w:r>
        <w:rPr>
          <w:rFonts w:ascii="Century Gothic" w:hAnsi="Century Gothic"/>
          <w:bCs/>
        </w:rPr>
        <w:t>account balance maintained under Option 11.</w:t>
      </w:r>
      <w:r w:rsidR="001B3817">
        <w:rPr>
          <w:rFonts w:ascii="Century Gothic" w:hAnsi="Century Gothic"/>
          <w:bCs/>
        </w:rPr>
        <w:tab/>
      </w:r>
    </w:p>
    <w:p w:rsidR="00974902" w:rsidRDefault="00AF24A7">
      <w:pPr>
        <w:pStyle w:val="BAS-Heading1"/>
        <w:numPr>
          <w:ilvl w:val="0"/>
          <w:numId w:val="0"/>
        </w:numPr>
        <w:ind w:left="792" w:hanging="792"/>
      </w:pPr>
      <w:bookmarkStart w:id="95" w:name="_Toc481766565"/>
      <w:r>
        <w:lastRenderedPageBreak/>
        <w:t>APPENDIX C</w:t>
      </w:r>
      <w:r>
        <w:tab/>
        <w:t>Contract</w:t>
      </w:r>
      <w:bookmarkEnd w:id="90"/>
      <w:bookmarkEnd w:id="91"/>
      <w:bookmarkEnd w:id="95"/>
    </w:p>
    <w:p w:rsidR="00974902" w:rsidRDefault="00974902">
      <w:pPr>
        <w:sectPr w:rsidR="00974902">
          <w:headerReference w:type="first" r:id="rId23"/>
          <w:footerReference w:type="first" r:id="rId24"/>
          <w:pgSz w:w="12240" w:h="15840"/>
          <w:pgMar w:top="1080" w:right="1080" w:bottom="1080" w:left="1080" w:header="720" w:footer="720" w:gutter="0"/>
          <w:pgNumType w:start="1"/>
          <w:cols w:space="720"/>
          <w:titlePg/>
          <w:docGrid w:linePitch="360"/>
        </w:sectPr>
      </w:pPr>
    </w:p>
    <w:p w:rsidR="00974902" w:rsidRDefault="00AF24A7">
      <w:pPr>
        <w:jc w:val="center"/>
        <w:rPr>
          <w:b/>
        </w:rPr>
      </w:pPr>
      <w:r>
        <w:rPr>
          <w:b/>
        </w:rPr>
        <w:lastRenderedPageBreak/>
        <w:t>Investment Management Agreement</w:t>
      </w:r>
    </w:p>
    <w:p w:rsidR="00974902" w:rsidRDefault="00974902">
      <w:pPr>
        <w:pStyle w:val="BAS-Normal0"/>
        <w:ind w:firstLine="720"/>
      </w:pPr>
    </w:p>
    <w:p w:rsidR="00974902" w:rsidRDefault="00AF24A7">
      <w:pPr>
        <w:pStyle w:val="BAS-Normal0"/>
        <w:ind w:firstLine="720"/>
      </w:pPr>
      <w:r>
        <w:t>This Investment Management Agreement (the “Agreement”), is entered into this _____ day of ____________________, 2017, by and between the Florida Prepaid College Board. (the “Board”), an agency of the State of Florida, and ___________________________________ (the “Manager”), a corporation operating under the laws of the State of ____________________ and doing business in the State of Florida to provide Investment Management Services to the Stanley G, Tate Florida Prepaid College Program (the “Prepaid Plan”) and the Florida 529 Savings Plan (the “Savings Plan”).</w:t>
      </w:r>
    </w:p>
    <w:p w:rsidR="00974902" w:rsidRDefault="00974902">
      <w:pPr>
        <w:pStyle w:val="BAS-Normal0"/>
        <w:ind w:firstLine="720"/>
      </w:pPr>
    </w:p>
    <w:p w:rsidR="00974902" w:rsidRDefault="00AF24A7">
      <w:pPr>
        <w:pStyle w:val="BAS-Heading1Alt"/>
        <w:jc w:val="center"/>
      </w:pPr>
      <w:r>
        <w:t>Background</w:t>
      </w:r>
    </w:p>
    <w:p w:rsidR="00974902" w:rsidRDefault="00AF24A7">
      <w:pPr>
        <w:pStyle w:val="BAS-Normal0"/>
        <w:ind w:firstLine="720"/>
      </w:pPr>
      <w:r>
        <w:t xml:space="preserve">An Invitation to Negotiate, Index Replication for the Prepaid Plan and the Savings Plan, ITN 17-01, (the “ITN”) was issued by the Florida Prepaid College Board on or about May </w:t>
      </w:r>
      <w:r w:rsidR="00210249">
        <w:t>_</w:t>
      </w:r>
      <w:r>
        <w:t>, 2017. The Florida Prepaid College Board determined that the Manager has the expertise, organizational capacity, financial resources, and ability to perform services for the Prepaid Plan and the Savings Plan as required pursuant to this agreement.</w:t>
      </w:r>
    </w:p>
    <w:p w:rsidR="00974902" w:rsidRDefault="00974902">
      <w:pPr>
        <w:pStyle w:val="BAS-Normal0"/>
        <w:ind w:firstLine="720"/>
      </w:pPr>
    </w:p>
    <w:p w:rsidR="00974902" w:rsidRDefault="00AF24A7">
      <w:pPr>
        <w:pStyle w:val="BAS-Normal0"/>
        <w:ind w:firstLine="720"/>
      </w:pPr>
      <w:r>
        <w:rPr>
          <w:b/>
        </w:rPr>
        <w:t>THEREFORE,</w:t>
      </w:r>
      <w:r>
        <w:t xml:space="preserve"> in consideration of the services to be performed and the payments to be made, together with the mutual covenants and conditions hereinafter set forth, the parties agree as follows:</w:t>
      </w:r>
    </w:p>
    <w:p w:rsidR="00974902" w:rsidRDefault="00974902"/>
    <w:p w:rsidR="00974902" w:rsidRDefault="00AF24A7">
      <w:pPr>
        <w:pStyle w:val="BAS-Heading1Alt"/>
      </w:pPr>
      <w:r>
        <w:t>I.</w:t>
      </w:r>
      <w:r>
        <w:tab/>
        <w:t>Services</w:t>
      </w:r>
    </w:p>
    <w:p w:rsidR="00974902" w:rsidRDefault="00AF24A7">
      <w:pPr>
        <w:pStyle w:val="BAS-Heading1Alt"/>
      </w:pPr>
      <w:r>
        <w:t>A.</w:t>
      </w:r>
      <w:r>
        <w:tab/>
        <w:t>R</w:t>
      </w:r>
      <w:r>
        <w:rPr>
          <w:caps w:val="0"/>
          <w:smallCaps/>
        </w:rPr>
        <w:t>epresentations and Warranties</w:t>
      </w:r>
    </w:p>
    <w:p w:rsidR="00974902" w:rsidRDefault="00AF24A7">
      <w:pPr>
        <w:pStyle w:val="BAS-Normal0"/>
        <w:ind w:firstLine="720"/>
      </w:pPr>
      <w:r>
        <w:t>The Manager represents and warrants that:</w:t>
      </w:r>
    </w:p>
    <w:p w:rsidR="00974902" w:rsidRDefault="00974902">
      <w:pPr>
        <w:pStyle w:val="BAS-Normal0"/>
        <w:ind w:firstLine="720"/>
      </w:pPr>
    </w:p>
    <w:p w:rsidR="00974902" w:rsidRDefault="00AF24A7">
      <w:pPr>
        <w:pStyle w:val="BAS-Normal0"/>
        <w:numPr>
          <w:ilvl w:val="0"/>
          <w:numId w:val="8"/>
        </w:numPr>
        <w:ind w:left="0" w:firstLine="720"/>
      </w:pPr>
      <w:r>
        <w:t>It is a duly registered investment adviser under the Investment Advisers Act of 1940, as amended, and further represents, warrants, and agrees that it will continue at all times during the term of this Agreement to be an investment adviser and manager, as well as a fiduciary as described in paragraph 2 of this Section and that it will comply with all federal and state security laws, rules and regulations, as well as all other state and local laws referenced by this Agreement and all rules adopted hereafter; and</w:t>
      </w:r>
    </w:p>
    <w:p w:rsidR="00974902" w:rsidRDefault="00974902">
      <w:pPr>
        <w:pStyle w:val="BAS-Normal0"/>
        <w:ind w:left="720"/>
      </w:pPr>
    </w:p>
    <w:p w:rsidR="00974902" w:rsidRDefault="00AF24A7">
      <w:pPr>
        <w:pStyle w:val="BAS-Normal0"/>
        <w:numPr>
          <w:ilvl w:val="0"/>
          <w:numId w:val="8"/>
        </w:numPr>
        <w:ind w:left="0" w:firstLine="720"/>
      </w:pPr>
      <w:r>
        <w:t>It is an "investment manager" as such term is defined in the Employees Retirement Income Security Act ("ERISA"), 29 U.S.C. § 1002(38), with respect to the Account Assets and, by reason thereof, a fiduciary as such term is defined in ERISA. Nothing in this paragraph incorporates any other term or provision of ERISA and the terms and provisions of ERISA are not applicable to this Agreement; and</w:t>
      </w:r>
    </w:p>
    <w:p w:rsidR="00974902" w:rsidRDefault="00974902">
      <w:pPr>
        <w:pStyle w:val="BAS-Normal0"/>
        <w:ind w:left="720"/>
      </w:pPr>
    </w:p>
    <w:p w:rsidR="00974902" w:rsidRDefault="00AF24A7">
      <w:pPr>
        <w:pStyle w:val="BAS-Normal0"/>
        <w:numPr>
          <w:ilvl w:val="0"/>
          <w:numId w:val="8"/>
        </w:numPr>
        <w:ind w:left="0" w:firstLine="720"/>
      </w:pPr>
      <w:r>
        <w:t>It is a corporation duly organized, validly existing, and in good standing under the laws of the United States and the State of ___________________ and has the power and authority to carry on its business as now being conducted and has the power and authority to execute, deliver, and perform this Agreement; and</w:t>
      </w:r>
    </w:p>
    <w:p w:rsidR="00974902" w:rsidRDefault="00974902">
      <w:pPr>
        <w:pStyle w:val="BAS-Normal0"/>
        <w:ind w:left="720"/>
      </w:pPr>
    </w:p>
    <w:p w:rsidR="00974902" w:rsidRDefault="00AF24A7">
      <w:pPr>
        <w:pStyle w:val="BAS-Normal0"/>
        <w:numPr>
          <w:ilvl w:val="0"/>
          <w:numId w:val="8"/>
        </w:numPr>
        <w:ind w:left="0" w:firstLine="720"/>
      </w:pPr>
      <w:r>
        <w:t xml:space="preserve">It is duly qualified and in good standing in such other states of the United States as well as in foreign countries or political subdivisions thereof, as is necessary to perform this Agreement; and </w:t>
      </w:r>
    </w:p>
    <w:p w:rsidR="00974902" w:rsidRDefault="00974902">
      <w:pPr>
        <w:pStyle w:val="BAS-Normal0"/>
        <w:ind w:left="720"/>
      </w:pPr>
    </w:p>
    <w:p w:rsidR="00974902" w:rsidRDefault="00AF24A7">
      <w:pPr>
        <w:pStyle w:val="BAS-Normal0"/>
        <w:numPr>
          <w:ilvl w:val="0"/>
          <w:numId w:val="8"/>
        </w:numPr>
        <w:ind w:left="0" w:firstLine="720"/>
      </w:pPr>
      <w:r>
        <w:t xml:space="preserve">It has taken all actions necessary to authorize the execution, delivery, and performance of this Agreement, and this Agreement is a valid and binding obligation of the Manager enforceable against it in accordance with its terms except as may be limited by federal and state laws affecting the rights of creditors generally and except as may be limited by legal or equitable remedies; and </w:t>
      </w:r>
    </w:p>
    <w:p w:rsidR="00974902" w:rsidRDefault="00974902">
      <w:pPr>
        <w:pStyle w:val="BAS-Normal0"/>
        <w:ind w:left="720"/>
      </w:pPr>
    </w:p>
    <w:p w:rsidR="00974902" w:rsidRDefault="00AF24A7">
      <w:pPr>
        <w:pStyle w:val="BAS-Normal0"/>
        <w:numPr>
          <w:ilvl w:val="0"/>
          <w:numId w:val="8"/>
        </w:numPr>
        <w:ind w:left="0" w:firstLine="720"/>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974902" w:rsidRDefault="00974902">
      <w:pPr>
        <w:pStyle w:val="BAS-Normal0"/>
        <w:ind w:left="720"/>
      </w:pPr>
    </w:p>
    <w:p w:rsidR="00974902" w:rsidRDefault="00AF24A7">
      <w:pPr>
        <w:pStyle w:val="BAS-Normal0"/>
        <w:numPr>
          <w:ilvl w:val="0"/>
          <w:numId w:val="8"/>
        </w:numPr>
        <w:ind w:left="0" w:firstLine="720"/>
      </w:pPr>
      <w:r>
        <w:t xml:space="preserve">To the best of the Manager's knowledge, neither the execution, delivery, nor performance of this Agreement by the Manager will violate any law, statute, order, rule, regulation, judgment, order or decree by or of any federal, state, local, or foreign court or governmental authority, domestic or foreign, to which the Manager is subject nor will the same constitute a breach of, or default under, provisions of any agreement or contract to which it is a party or by which it is bound. </w:t>
      </w:r>
    </w:p>
    <w:p w:rsidR="00974902" w:rsidRDefault="00974902">
      <w:pPr>
        <w:pStyle w:val="BAS-Normal0"/>
        <w:ind w:left="720"/>
      </w:pPr>
    </w:p>
    <w:p w:rsidR="00974902" w:rsidRDefault="00AF24A7">
      <w:pPr>
        <w:pStyle w:val="BAS-Normal0"/>
        <w:numPr>
          <w:ilvl w:val="0"/>
          <w:numId w:val="8"/>
        </w:numPr>
        <w:ind w:left="0" w:firstLine="720"/>
      </w:pPr>
      <w:r>
        <w:t xml:space="preserve">It is possessed in the legal authority and capacity to enter into and perform this Agreement. </w:t>
      </w:r>
    </w:p>
    <w:p w:rsidR="00974902" w:rsidRDefault="00974902">
      <w:pPr>
        <w:pStyle w:val="BAS-Normal0"/>
        <w:ind w:left="720"/>
      </w:pPr>
    </w:p>
    <w:p w:rsidR="00974902" w:rsidRDefault="00AF24A7">
      <w:pPr>
        <w:pStyle w:val="BAS-Normal0"/>
        <w:numPr>
          <w:ilvl w:val="0"/>
          <w:numId w:val="8"/>
        </w:numPr>
        <w:ind w:left="0" w:firstLine="720"/>
      </w:pPr>
      <w:r>
        <w:t xml:space="preserve">It has been duly authorized to operate and do business in all places where it will be required to conduct business under this Agreement; that it has obtained, at no cost to the State of Florida, all necessary licenses and permits required in connection with this Agreement; and that it will fully comply with all laws, decrees, labor standards and regulations of its domicile and wherever performance occurs during the performance of this Agreement. </w:t>
      </w:r>
    </w:p>
    <w:p w:rsidR="00974902" w:rsidRDefault="00974902">
      <w:pPr>
        <w:pStyle w:val="BAS-Normal0"/>
        <w:ind w:left="720"/>
      </w:pPr>
    </w:p>
    <w:p w:rsidR="00974902" w:rsidRDefault="00AF24A7">
      <w:pPr>
        <w:pStyle w:val="BAS-Normal0"/>
        <w:numPr>
          <w:ilvl w:val="0"/>
          <w:numId w:val="8"/>
        </w:numPr>
        <w:ind w:left="0" w:firstLine="720"/>
      </w:pPr>
      <w:r>
        <w:t>It has no present interest nor will acquire any interest which would conflict in any manner with the Manager's duties and obligations under this Agreement.</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B.</w:t>
      </w:r>
      <w:r>
        <w:rPr>
          <w:b/>
          <w:smallCaps/>
        </w:rPr>
        <w:tab/>
        <w:t>Description of Services</w:t>
      </w:r>
    </w:p>
    <w:p w:rsidR="00974902" w:rsidRDefault="00AF24A7">
      <w:pPr>
        <w:pStyle w:val="BAS-Normal0"/>
        <w:numPr>
          <w:ilvl w:val="0"/>
          <w:numId w:val="9"/>
        </w:numPr>
        <w:ind w:left="0" w:firstLine="720"/>
      </w:pPr>
      <w:r>
        <w:t>The Board hereby appoints the Manager as an investment manager with the power to invest and manage assets as allocated at the discretion of the Board (the “Account Assets”) in accordance with the Statutory Prospectus set forth in Exhibit “B”.</w:t>
      </w:r>
    </w:p>
    <w:p w:rsidR="00974902" w:rsidRDefault="00974902">
      <w:pPr>
        <w:pStyle w:val="BAS-Normal0"/>
        <w:ind w:left="720"/>
      </w:pPr>
    </w:p>
    <w:p w:rsidR="00974902" w:rsidRDefault="00AF24A7">
      <w:pPr>
        <w:pStyle w:val="BAS-Normal0"/>
        <w:numPr>
          <w:ilvl w:val="0"/>
          <w:numId w:val="9"/>
        </w:numPr>
        <w:ind w:left="0" w:firstLine="720"/>
      </w:pPr>
      <w:r>
        <w:t>The Manager will provide the Board with access to replication strategies for investment of any amount, in any fund, on any trading day at the discretion of the Board.</w:t>
      </w:r>
    </w:p>
    <w:p w:rsidR="00974902" w:rsidRDefault="00974902">
      <w:pPr>
        <w:pStyle w:val="BAS-Normal0"/>
        <w:ind w:left="720"/>
      </w:pPr>
    </w:p>
    <w:p w:rsidR="00974902" w:rsidRDefault="00AF24A7">
      <w:pPr>
        <w:pStyle w:val="BAS-Normal0"/>
        <w:numPr>
          <w:ilvl w:val="0"/>
          <w:numId w:val="9"/>
        </w:numPr>
        <w:ind w:left="0" w:firstLine="720"/>
      </w:pPr>
      <w:r>
        <w:t xml:space="preserve">The Manager will provide access as may be required by the Board to data and reporting of gross and/or net of fee investment performance; this may include monthly, quarterly and/or annual statements. </w:t>
      </w:r>
    </w:p>
    <w:p w:rsidR="00974902" w:rsidRDefault="00974902">
      <w:pPr>
        <w:pStyle w:val="BAS-Normal0"/>
        <w:ind w:left="720"/>
      </w:pPr>
    </w:p>
    <w:p w:rsidR="00974902" w:rsidRDefault="00AF24A7">
      <w:pPr>
        <w:pStyle w:val="BAS-Normal0"/>
        <w:numPr>
          <w:ilvl w:val="0"/>
          <w:numId w:val="9"/>
        </w:numPr>
        <w:ind w:left="0" w:firstLine="720"/>
      </w:pPr>
      <w:r>
        <w:t>The Manager will provide the Board with approved logos, trademarks, copyrights and other similar identifying symbols or descriptive statements, that may be included in marketing materials created by the Board for one or more funds included in, or the entire, family of funds to the extent permitted by law.</w:t>
      </w:r>
    </w:p>
    <w:p w:rsidR="00974902" w:rsidRDefault="00974902">
      <w:pPr>
        <w:pStyle w:val="BAS-Normal0"/>
        <w:ind w:left="720"/>
      </w:pPr>
    </w:p>
    <w:p w:rsidR="00974902" w:rsidRDefault="00AF24A7">
      <w:pPr>
        <w:pStyle w:val="BAS-Normal0"/>
        <w:numPr>
          <w:ilvl w:val="0"/>
          <w:numId w:val="9"/>
        </w:numPr>
        <w:ind w:left="0" w:firstLine="720"/>
      </w:pPr>
      <w:r>
        <w:t>The Manager will provide disclosure materials concerning each strategy within the family of funds as may be required by the Board for inclusion in any prospectus or disclosure booklet for the Prepaid Plan and/or the Savings Plan.</w:t>
      </w:r>
    </w:p>
    <w:p w:rsidR="00974902" w:rsidRDefault="00974902">
      <w:pPr>
        <w:pStyle w:val="ListParagraph"/>
        <w:spacing w:after="0"/>
      </w:pPr>
    </w:p>
    <w:p w:rsidR="00974902" w:rsidRDefault="00AF24A7">
      <w:pPr>
        <w:pStyle w:val="BAS-Normal0"/>
        <w:numPr>
          <w:ilvl w:val="0"/>
          <w:numId w:val="9"/>
        </w:numPr>
        <w:ind w:left="0" w:firstLine="720"/>
      </w:pPr>
      <w:r>
        <w:t>Upon request, and for a negotiated fee, the Manager will make presentations to the Florida Prepaid College Board, or as otherwise requested by the Board on investment topics including but not limited to investment strategy, mechanics, environment, performance and projections.</w:t>
      </w:r>
    </w:p>
    <w:p w:rsidR="00974902" w:rsidRDefault="00974902">
      <w:pPr>
        <w:pStyle w:val="BAS-Normal0"/>
        <w:ind w:left="720"/>
      </w:pPr>
    </w:p>
    <w:p w:rsidR="00974902" w:rsidRDefault="00AF24A7">
      <w:pPr>
        <w:pStyle w:val="BAS-Normal0"/>
        <w:numPr>
          <w:ilvl w:val="0"/>
          <w:numId w:val="9"/>
        </w:numPr>
        <w:ind w:left="0" w:firstLine="720"/>
      </w:pPr>
      <w:r>
        <w:t>All services provided under this Agreement related to the Prepaid Plan and/or the Savings Plan shall be provided in accordance with the ITN. All provisions of the ITN, the Questions and Answers regarding the ITN, and the Manager’s Proposal submitted in response to the ITN are incorporated by reference and attached to this Agreement as Composite Exhibit “A.”</w:t>
      </w:r>
    </w:p>
    <w:p w:rsidR="00974902" w:rsidRDefault="00974902">
      <w:pPr>
        <w:pStyle w:val="BAS-Normal0"/>
        <w:ind w:left="720"/>
      </w:pPr>
    </w:p>
    <w:p w:rsidR="00974902" w:rsidRDefault="00AF24A7">
      <w:pPr>
        <w:pStyle w:val="BAS-Normal0"/>
        <w:numPr>
          <w:ilvl w:val="0"/>
          <w:numId w:val="9"/>
        </w:numPr>
        <w:ind w:left="0" w:firstLine="720"/>
      </w:pPr>
      <w:r>
        <w:t xml:space="preserve">The Manager agrees to discharge its duties, as investment manager and fiduciary, with respect to the Account Assets solely in the interest of the Board and the beneficiaries thereunder and (a) with the care, skill, prudence, and diligence that a prudent man acting in the like capacity and familiar with such matters, under the then present circumstances, would use in the conduct of an enterprise of a like character and with like aims, and (b) in accordance with the investment instructions as the Board may furnish to the Manager in writing from time to time and with this Agreement. </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C.</w:t>
      </w:r>
      <w:r>
        <w:rPr>
          <w:b/>
          <w:smallCaps/>
        </w:rPr>
        <w:tab/>
        <w:t>Duration and Consideration</w:t>
      </w:r>
    </w:p>
    <w:p w:rsidR="00974902" w:rsidRDefault="00AF24A7">
      <w:pPr>
        <w:pStyle w:val="BAS-Normal0"/>
        <w:numPr>
          <w:ilvl w:val="0"/>
          <w:numId w:val="10"/>
        </w:numPr>
        <w:ind w:left="0" w:firstLine="720"/>
      </w:pPr>
      <w:r>
        <w:t>The duration of this Agreement shall be for five (5) years beginning ____________________, 20____, and continuing through ____________________, 20____. The Board reserves the right, in its discretion to renew this Agreement for five (5) additional years under the terms and conditions set forth herein or under such terms and conditions as the parties may mutually agree upon. The renewal may be divided into increments or may be for a complete term. Any renewal or extension will be in writing and executed by both parties to this Agreement.</w:t>
      </w:r>
    </w:p>
    <w:p w:rsidR="00974902" w:rsidRDefault="00974902">
      <w:pPr>
        <w:pStyle w:val="BAS-Normal0"/>
        <w:ind w:left="720"/>
      </w:pPr>
    </w:p>
    <w:p w:rsidR="00974902" w:rsidRDefault="00AF24A7">
      <w:pPr>
        <w:pStyle w:val="BAS-Normal0"/>
        <w:numPr>
          <w:ilvl w:val="0"/>
          <w:numId w:val="10"/>
        </w:numPr>
        <w:ind w:left="0" w:firstLine="720"/>
      </w:pPr>
      <w:r>
        <w:t>The continuation of this Agreement shall be contingent upon the satisfactory performance and evaluation of the Manager by the Board. The Board may terminate this Agreement or any part of this Agreement, without penalty or cost, at its convenience at any time and for any reason. Such termination will be effective at such time as is determined by the Board.</w:t>
      </w:r>
    </w:p>
    <w:p w:rsidR="00974902" w:rsidRDefault="00974902">
      <w:pPr>
        <w:pStyle w:val="BAS-Normal0"/>
        <w:ind w:left="720"/>
      </w:pPr>
    </w:p>
    <w:p w:rsidR="00974902" w:rsidRDefault="00AF24A7">
      <w:pPr>
        <w:pStyle w:val="BAS-Normal0"/>
        <w:numPr>
          <w:ilvl w:val="0"/>
          <w:numId w:val="10"/>
        </w:numPr>
        <w:ind w:left="0" w:firstLine="720"/>
      </w:pPr>
      <w:r>
        <w:t xml:space="preserve">In the event the Manager files for protection or reorganization or a petition for involuntary bankruptcy is filed against the Manager, under the United States Bankruptcy Code, during the term of the Agreement,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prior to the filing of the bankruptcy petition. Each such one-year Agreement renewal shall be contingent upon continued need and satisfactory performance by the Manager. </w:t>
      </w:r>
    </w:p>
    <w:p w:rsidR="00974902" w:rsidRDefault="00974902">
      <w:pPr>
        <w:pStyle w:val="BAS-Normal0"/>
        <w:ind w:left="720"/>
      </w:pPr>
    </w:p>
    <w:p w:rsidR="00974902" w:rsidRDefault="00AF24A7">
      <w:pPr>
        <w:pStyle w:val="BAS-Normal0"/>
        <w:numPr>
          <w:ilvl w:val="0"/>
          <w:numId w:val="10"/>
        </w:numPr>
        <w:ind w:left="0" w:firstLine="720"/>
      </w:pPr>
      <w:r>
        <w:lastRenderedPageBreak/>
        <w:t xml:space="preserve">The Manager will be compensated pursuant to the Statutory Prospectus for the investment options in which the Prepaid Plan and/or the Savings Plan has invested. The Board shall pay the fees associated with holding Institutional Shares. </w:t>
      </w:r>
    </w:p>
    <w:p w:rsidR="00974902" w:rsidRDefault="00974902">
      <w:pPr>
        <w:pStyle w:val="BAS-Normal0"/>
        <w:ind w:left="720"/>
      </w:pPr>
    </w:p>
    <w:p w:rsidR="00974902" w:rsidRDefault="00AF24A7">
      <w:pPr>
        <w:pStyle w:val="BAS-Normal0"/>
        <w:numPr>
          <w:ilvl w:val="0"/>
          <w:numId w:val="10"/>
        </w:numPr>
        <w:ind w:left="0" w:firstLine="720"/>
      </w:pPr>
      <w:r>
        <w:t xml:space="preserve">The Manager shall be compensated for services set forth in B.6 in such manner as will be agreed upon, from time to time, by the Manager and the Board. </w:t>
      </w:r>
    </w:p>
    <w:p w:rsidR="00974902" w:rsidRDefault="00974902">
      <w:pPr>
        <w:pStyle w:val="BAS-Normal0"/>
        <w:ind w:left="720"/>
      </w:pPr>
    </w:p>
    <w:p w:rsidR="00974902" w:rsidRDefault="00AF24A7">
      <w:pPr>
        <w:pStyle w:val="BAS-Normal0"/>
        <w:numPr>
          <w:ilvl w:val="0"/>
          <w:numId w:val="10"/>
        </w:numPr>
        <w:ind w:left="0" w:firstLine="720"/>
      </w:pPr>
      <w:r>
        <w:t>All out-of-pocket expenses of the Manager, including without limitation, mailing and telephone expenses, travel expenses, salaries, and overhead costs, are to be paid for by the Manager.</w:t>
      </w:r>
    </w:p>
    <w:p w:rsidR="00974902" w:rsidRDefault="00974902">
      <w:pPr>
        <w:pStyle w:val="BAS-Normal0"/>
        <w:ind w:left="720"/>
      </w:pPr>
    </w:p>
    <w:p w:rsidR="00974902" w:rsidRDefault="00AF24A7">
      <w:pPr>
        <w:pStyle w:val="BAS-Normal0"/>
        <w:numPr>
          <w:ilvl w:val="0"/>
          <w:numId w:val="10"/>
        </w:numPr>
        <w:ind w:left="0" w:firstLine="720"/>
      </w:pPr>
      <w:r>
        <w:t>Any invoices submitted by the Manager seeking payment for services rendered under the terms of this Agreement shall be submitted to the Board in sufficient detail to ensure proper pre-audit and post-audit thereof.</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D.</w:t>
      </w:r>
      <w:r>
        <w:rPr>
          <w:b/>
          <w:smallCaps/>
        </w:rPr>
        <w:tab/>
        <w:t>Nonexclusive Rights</w:t>
      </w:r>
    </w:p>
    <w:p w:rsidR="00974902" w:rsidRDefault="00AF24A7">
      <w:pPr>
        <w:pStyle w:val="BAS-Normal0"/>
        <w:numPr>
          <w:ilvl w:val="0"/>
          <w:numId w:val="11"/>
        </w:numPr>
        <w:ind w:left="0" w:firstLine="720"/>
      </w:pPr>
      <w:r>
        <w:t>By this Agreement, the Board does not intend to grant any firm the exclusive rights to provide all materials or services required by the Board during the period covered by the Agreement.</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E.</w:t>
      </w:r>
      <w:r>
        <w:rPr>
          <w:b/>
          <w:smallCaps/>
        </w:rPr>
        <w:tab/>
        <w:t>Severability</w:t>
      </w:r>
    </w:p>
    <w:p w:rsidR="00974902" w:rsidRDefault="00AF24A7">
      <w:pPr>
        <w:pStyle w:val="BAS-Normal0"/>
        <w:numPr>
          <w:ilvl w:val="0"/>
          <w:numId w:val="12"/>
        </w:numPr>
        <w:ind w:left="0" w:firstLine="720"/>
      </w:pPr>
      <w:r>
        <w:t>If any provisions of this Agreement are held invalid or unenforceable, such invalidity or unenforceability will not affect any other provisions, and this Agreement will be construed and enforced as if such provisions had not been included.</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F.</w:t>
      </w:r>
      <w:r>
        <w:rPr>
          <w:b/>
          <w:smallCaps/>
        </w:rPr>
        <w:tab/>
        <w:t>No Assignments</w:t>
      </w:r>
    </w:p>
    <w:p w:rsidR="00974902" w:rsidRDefault="00AF24A7">
      <w:pPr>
        <w:pStyle w:val="BAS-Normal0"/>
        <w:numPr>
          <w:ilvl w:val="0"/>
          <w:numId w:val="13"/>
        </w:numPr>
        <w:ind w:left="0" w:firstLine="720"/>
      </w:pPr>
      <w:r>
        <w:t>No assignment, as that term is defined in the Investment Advisers Act of 1940, nor any other form of assignment, transfer, or conveyance of this Agreement will be made by the Manager without prior written consent of the Board.</w:t>
      </w:r>
    </w:p>
    <w:p w:rsidR="00974902" w:rsidRDefault="00974902">
      <w:pPr>
        <w:pStyle w:val="BAS-Normal0"/>
      </w:pPr>
    </w:p>
    <w:p w:rsidR="00974902" w:rsidRDefault="00974902">
      <w:pPr>
        <w:pStyle w:val="BAS-Normal0"/>
      </w:pPr>
    </w:p>
    <w:p w:rsidR="00974902" w:rsidRDefault="00974902">
      <w:pPr>
        <w:pStyle w:val="BAS-Normal0"/>
      </w:pPr>
    </w:p>
    <w:p w:rsidR="00974902" w:rsidRDefault="00AF24A7">
      <w:pPr>
        <w:pStyle w:val="BAS-Normal0"/>
        <w:jc w:val="center"/>
        <w:rPr>
          <w:i/>
        </w:rPr>
      </w:pPr>
      <w:r>
        <w:rPr>
          <w:i/>
        </w:rPr>
        <w:t>The remainder of this page was intentionally left blank</w:t>
      </w:r>
    </w:p>
    <w:p w:rsidR="00974902" w:rsidRDefault="00AF24A7">
      <w:pPr>
        <w:pStyle w:val="BAS-Normal0"/>
      </w:pPr>
      <w:r>
        <w:br w:type="page"/>
      </w:r>
    </w:p>
    <w:p w:rsidR="00974902" w:rsidRDefault="00AF24A7">
      <w:pPr>
        <w:pStyle w:val="BAS-Heading1Alt"/>
      </w:pPr>
      <w:r>
        <w:lastRenderedPageBreak/>
        <w:t>II.</w:t>
      </w:r>
      <w:r>
        <w:tab/>
        <w:t>Special Terms</w:t>
      </w:r>
    </w:p>
    <w:p w:rsidR="00974902" w:rsidRDefault="00AF24A7">
      <w:pPr>
        <w:pStyle w:val="BAS-Heading1Alt"/>
      </w:pPr>
      <w:r>
        <w:t>A.</w:t>
      </w:r>
      <w:r>
        <w:tab/>
        <w:t>O</w:t>
      </w:r>
      <w:r>
        <w:rPr>
          <w:caps w:val="0"/>
          <w:smallCaps/>
        </w:rPr>
        <w:t>wnership of Materials</w:t>
      </w:r>
    </w:p>
    <w:p w:rsidR="00974902" w:rsidRDefault="00AF24A7">
      <w:pPr>
        <w:pStyle w:val="BAS-Normal0"/>
        <w:numPr>
          <w:ilvl w:val="0"/>
          <w:numId w:val="14"/>
        </w:numPr>
        <w:ind w:left="0" w:firstLine="720"/>
      </w:pPr>
      <w:r>
        <w:t>The Board owns all materials developed and produced under this Agreement, unless otherwise agreed to in writing by the Board. The provisions of this Paragraph shall survive the termination of this Agreement.</w:t>
      </w:r>
    </w:p>
    <w:p w:rsidR="00974902" w:rsidRDefault="00974902">
      <w:pPr>
        <w:pStyle w:val="BAS-Normal0"/>
      </w:pPr>
    </w:p>
    <w:p w:rsidR="00974902" w:rsidRDefault="00974902">
      <w:pPr>
        <w:pStyle w:val="BAS-Normal0"/>
      </w:pPr>
    </w:p>
    <w:p w:rsidR="00974902" w:rsidRDefault="00AF24A7">
      <w:pPr>
        <w:pStyle w:val="BAS-Normal0"/>
        <w:spacing w:before="120" w:after="120"/>
        <w:rPr>
          <w:b/>
          <w:caps/>
        </w:rPr>
      </w:pPr>
      <w:r>
        <w:rPr>
          <w:b/>
          <w:caps/>
        </w:rPr>
        <w:t>B.</w:t>
      </w:r>
      <w:r>
        <w:rPr>
          <w:b/>
          <w:caps/>
        </w:rPr>
        <w:tab/>
      </w:r>
      <w:r>
        <w:rPr>
          <w:b/>
          <w:smallCaps/>
        </w:rPr>
        <w:t>Public Records</w:t>
      </w:r>
    </w:p>
    <w:p w:rsidR="00974902" w:rsidRDefault="00AF24A7" w:rsidP="00E33185">
      <w:pPr>
        <w:pStyle w:val="BAS-Normal0"/>
        <w:numPr>
          <w:ilvl w:val="0"/>
          <w:numId w:val="18"/>
        </w:numPr>
        <w:ind w:left="0" w:firstLine="720"/>
      </w:pPr>
      <w:r>
        <w:t>Section 1009.98(</w:t>
      </w:r>
      <w:r w:rsidR="00E33185">
        <w:t>6</w:t>
      </w:r>
      <w:r w:rsidR="001B3817">
        <w:t>)</w:t>
      </w:r>
      <w:r w:rsidR="00E33185">
        <w:t xml:space="preserve"> and </w:t>
      </w:r>
      <w:r w:rsidR="00E33185" w:rsidRPr="00E33185">
        <w:t>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r w:rsidR="00E33185">
        <w:t xml:space="preserve"> </w:t>
      </w:r>
      <w:r>
        <w:t>The Board may cancel this Agreement if the Manager refuses to allow public access to any documents, papers, letters, or other materials subject to the provisions of Chapter 119, Florida Statutes, and made or received by the Manager in conjunction with this Agreement. The provisions of this Paragraph shall survive the termination of this Agreement.</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caps/>
        </w:rPr>
        <w:t>C.</w:t>
      </w:r>
      <w:r>
        <w:rPr>
          <w:b/>
          <w:caps/>
        </w:rPr>
        <w:tab/>
        <w:t>I</w:t>
      </w:r>
      <w:r>
        <w:rPr>
          <w:b/>
          <w:smallCaps/>
        </w:rPr>
        <w:t>nterpretation and Dispute Resolution</w:t>
      </w:r>
    </w:p>
    <w:p w:rsidR="00974902" w:rsidRDefault="00AF24A7">
      <w:pPr>
        <w:pStyle w:val="BAS-Normal0"/>
        <w:numPr>
          <w:ilvl w:val="0"/>
          <w:numId w:val="17"/>
        </w:numPr>
        <w:ind w:left="0" w:firstLine="720"/>
      </w:pPr>
      <w:r>
        <w:t>In the event of any conflict, in the opinion of the Board, between any provision of this Agreement and the ITN, the Questions and Answers regarding the ITN or the Response, this Agreement shall govern the conduct of the Board and the Manager. In the event of any conflict, in the opinion of the Board, between the ITN and the Response,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the Questions and Answers regarding the ITN and the Response, the Questions and Answers regarding the ITN shall govern the conduct of the Board and the Manager.</w:t>
      </w:r>
    </w:p>
    <w:p w:rsidR="00974902" w:rsidRDefault="00974902">
      <w:pPr>
        <w:pStyle w:val="BAS-Normal0"/>
        <w:ind w:left="720"/>
      </w:pPr>
    </w:p>
    <w:p w:rsidR="00974902" w:rsidRDefault="00AF24A7">
      <w:pPr>
        <w:pStyle w:val="BAS-Normal0"/>
        <w:numPr>
          <w:ilvl w:val="0"/>
          <w:numId w:val="17"/>
        </w:numPr>
        <w:ind w:left="0" w:firstLine="720"/>
      </w:pPr>
      <w:r>
        <w:t xml:space="preserve">The validity, interpretation and performance of this Agreement shall be controlled by and construed under the laws of the State of Florida. </w:t>
      </w:r>
    </w:p>
    <w:p w:rsidR="00974902" w:rsidRDefault="00974902">
      <w:pPr>
        <w:pStyle w:val="BAS-Normal0"/>
        <w:ind w:left="720"/>
      </w:pPr>
    </w:p>
    <w:p w:rsidR="00974902" w:rsidRDefault="00AF24A7">
      <w:pPr>
        <w:pStyle w:val="BAS-Normal0"/>
        <w:numPr>
          <w:ilvl w:val="0"/>
          <w:numId w:val="17"/>
        </w:numPr>
        <w:ind w:left="0" w:firstLine="720"/>
      </w:pPr>
      <w:r>
        <w:t xml:space="preserve">The sole and exclusive manner of resolution of all claims, disputes or controversies related to or arising under or from this Agreement shall be pursuant to Rules 19B-14.001, 19B-14.002, 19B-14.003, Florida Administrative Code, as amended from time to time. </w:t>
      </w:r>
    </w:p>
    <w:p w:rsidR="00974902" w:rsidRDefault="00974902">
      <w:pPr>
        <w:pStyle w:val="BAS-Normal0"/>
        <w:ind w:left="720"/>
      </w:pPr>
    </w:p>
    <w:p w:rsidR="00974902" w:rsidRDefault="00AF24A7">
      <w:pPr>
        <w:pStyle w:val="BAS-Normal0"/>
        <w:numPr>
          <w:ilvl w:val="0"/>
          <w:numId w:val="17"/>
        </w:numPr>
        <w:ind w:left="0" w:firstLine="720"/>
      </w:pPr>
      <w:r>
        <w:t xml:space="preserve">Any and all litigation arising under this Agreement shall be brought in accordance with subparagraph 3 in a court of competent jurisdiction in Leon County, Florida. All appeals shall be to the First District Court of Appeals of the State of Florida. </w:t>
      </w:r>
    </w:p>
    <w:p w:rsidR="00974902" w:rsidRDefault="00974902">
      <w:pPr>
        <w:pStyle w:val="BAS-Normal0"/>
        <w:ind w:left="720"/>
      </w:pPr>
    </w:p>
    <w:p w:rsidR="00974902" w:rsidRDefault="00AF24A7">
      <w:pPr>
        <w:pStyle w:val="BAS-Normal0"/>
        <w:numPr>
          <w:ilvl w:val="0"/>
          <w:numId w:val="17"/>
        </w:numPr>
        <w:ind w:left="0" w:firstLine="720"/>
      </w:pPr>
      <w:r>
        <w:t>The provisions of this Paragraph shall survive the termination of this Agreement.</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caps/>
        </w:rPr>
        <w:t>D.</w:t>
      </w:r>
      <w:r>
        <w:rPr>
          <w:b/>
          <w:caps/>
        </w:rPr>
        <w:tab/>
      </w:r>
      <w:r>
        <w:rPr>
          <w:b/>
          <w:smallCaps/>
        </w:rPr>
        <w:t>Indemnification</w:t>
      </w:r>
    </w:p>
    <w:p w:rsidR="00974902" w:rsidRDefault="00AF24A7">
      <w:pPr>
        <w:pStyle w:val="BAS-Normal0"/>
        <w:numPr>
          <w:ilvl w:val="0"/>
          <w:numId w:val="16"/>
        </w:numPr>
        <w:ind w:left="0" w:firstLine="720"/>
      </w:pPr>
      <w:r>
        <w:t xml:space="preserve">The Manager shall act as an independent contractor and not as an employee of the Board in the performance of the tasks and duties, which are the subject of this Agreement. </w:t>
      </w:r>
    </w:p>
    <w:p w:rsidR="00974902" w:rsidRDefault="00974902">
      <w:pPr>
        <w:pStyle w:val="BAS-Normal0"/>
        <w:ind w:left="720"/>
      </w:pPr>
    </w:p>
    <w:p w:rsidR="00974902" w:rsidRDefault="00AF24A7">
      <w:pPr>
        <w:pStyle w:val="BAS-Normal0"/>
        <w:numPr>
          <w:ilvl w:val="0"/>
          <w:numId w:val="16"/>
        </w:numPr>
        <w:ind w:left="0" w:firstLine="720"/>
      </w:pPr>
      <w:r>
        <w:t>The Manager shall be liable, and agrees to be liable for, and shall indemnify, defend and hold the Board harmless from:</w:t>
      </w:r>
    </w:p>
    <w:p w:rsidR="00974902" w:rsidRDefault="00974902">
      <w:pPr>
        <w:pStyle w:val="BAS-Normal0"/>
        <w:ind w:left="720"/>
      </w:pPr>
    </w:p>
    <w:p w:rsidR="00974902" w:rsidRDefault="00AF24A7">
      <w:pPr>
        <w:pStyle w:val="BAS-Normal0"/>
        <w:numPr>
          <w:ilvl w:val="1"/>
          <w:numId w:val="16"/>
        </w:numPr>
        <w:ind w:left="720" w:firstLine="720"/>
      </w:pPr>
      <w:r>
        <w:t xml:space="preserve">All claims, suits, judgments, or damages (including litigation costs and reasonable attorney’s fees) arising directly from fraud, gross negligence or willful misconduct in the Manager’s performance, or any subcontractor’s performance, of the tasks and duties which are the subject of this Agreement. “Misconduct” means violation of Florida law, Board rules or directives, Prepaid Plan and/or Savings Plan Comprehensive Investment Plans, state or federal securities laws and rules or regulations implementing such laws. </w:t>
      </w:r>
    </w:p>
    <w:p w:rsidR="00974902" w:rsidRDefault="00974902">
      <w:pPr>
        <w:pStyle w:val="BAS-Normal0"/>
        <w:ind w:left="1440"/>
      </w:pPr>
    </w:p>
    <w:p w:rsidR="00974902" w:rsidRDefault="00AF24A7">
      <w:pPr>
        <w:pStyle w:val="BAS-Normal0"/>
        <w:numPr>
          <w:ilvl w:val="1"/>
          <w:numId w:val="16"/>
        </w:numPr>
        <w:ind w:left="720" w:firstLine="720"/>
      </w:pPr>
      <w:r>
        <w:t>All claims, suits, judgments, or damages (including litigation costs and reasonable attorney’s fees) relating to bodily injury, death of any person or damage to any real or tangible personal property arising from the Manager’s performance, or any subcontractor’s performance, of the tasks and duties which are the subject of this Agreement.</w:t>
      </w:r>
    </w:p>
    <w:p w:rsidR="00974902" w:rsidRDefault="00974902">
      <w:pPr>
        <w:pStyle w:val="BAS-Normal0"/>
        <w:ind w:left="1440"/>
      </w:pPr>
    </w:p>
    <w:p w:rsidR="00974902" w:rsidRDefault="00AF24A7">
      <w:pPr>
        <w:pStyle w:val="BAS-Normal0"/>
        <w:numPr>
          <w:ilvl w:val="1"/>
          <w:numId w:val="16"/>
        </w:numPr>
        <w:ind w:left="720" w:firstLine="720"/>
      </w:pPr>
      <w:r>
        <w:t xml:space="preserve">All third-party claims, suits, judgments, or damages (including litigation costs and reasonable attorney’s fees) arising from the Manager’s performance, or any subcontractor’s performance, of the tasks and duties which are the subject of this Agreement. </w:t>
      </w:r>
    </w:p>
    <w:p w:rsidR="00974902" w:rsidRDefault="00974902">
      <w:pPr>
        <w:pStyle w:val="BAS-Normal0"/>
        <w:ind w:left="720"/>
      </w:pPr>
    </w:p>
    <w:p w:rsidR="00974902" w:rsidRDefault="00AF24A7">
      <w:pPr>
        <w:pStyle w:val="BAS-Normal0"/>
        <w:numPr>
          <w:ilvl w:val="0"/>
          <w:numId w:val="16"/>
        </w:numPr>
        <w:ind w:left="0" w:firstLine="720"/>
      </w:pPr>
      <w:r>
        <w:t>The Manager shall notify the Board in writing immediately of any such claim or suit. The Manager shall not settle, compromise, mediate, agree to dismiss, or voluntarily agree to the entry of any judgment, temporary injunction or permanent injunction, in any claim or suit against the Manager arising from or related to the Manager’s tasks and duties which are subject of this Agreement without the prior written authorization of the Board. Nothing in this Agreement authorizes the Manager to waive the Board’s immunity from suit under the Eleventh Amendment to the United States Constitution or any application of sovereign immunity recognized by federal or state courts.</w:t>
      </w:r>
    </w:p>
    <w:p w:rsidR="00974902" w:rsidRDefault="00974902">
      <w:pPr>
        <w:pStyle w:val="BAS-Normal0"/>
        <w:ind w:left="720"/>
      </w:pPr>
    </w:p>
    <w:p w:rsidR="00974902" w:rsidRDefault="00AF24A7">
      <w:pPr>
        <w:pStyle w:val="BAS-Normal0"/>
        <w:numPr>
          <w:ilvl w:val="0"/>
          <w:numId w:val="16"/>
        </w:numPr>
        <w:ind w:left="0" w:firstLine="720"/>
      </w:pPr>
      <w:r>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rsidR="00974902" w:rsidRDefault="00974902">
      <w:pPr>
        <w:pStyle w:val="BAS-Normal0"/>
        <w:ind w:left="720"/>
      </w:pPr>
    </w:p>
    <w:p w:rsidR="00974902" w:rsidRDefault="00AF24A7">
      <w:pPr>
        <w:pStyle w:val="BAS-Normal0"/>
        <w:numPr>
          <w:ilvl w:val="0"/>
          <w:numId w:val="16"/>
        </w:numPr>
        <w:ind w:left="0" w:firstLine="720"/>
      </w:pPr>
      <w:r>
        <w:t>The provisions of this Paragraph shall survive the termination of this Agreement.</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caps/>
        </w:rPr>
        <w:t>E.</w:t>
      </w:r>
      <w:r>
        <w:rPr>
          <w:b/>
          <w:caps/>
        </w:rPr>
        <w:tab/>
      </w:r>
      <w:r>
        <w:rPr>
          <w:b/>
          <w:smallCaps/>
        </w:rPr>
        <w:t>Prohibition of communication</w:t>
      </w:r>
    </w:p>
    <w:p w:rsidR="00974902" w:rsidRDefault="00AF24A7">
      <w:pPr>
        <w:pStyle w:val="BAS-Normal0"/>
        <w:numPr>
          <w:ilvl w:val="0"/>
          <w:numId w:val="15"/>
        </w:numPr>
        <w:ind w:left="0" w:firstLine="720"/>
        <w:rPr>
          <w:smallCaps/>
        </w:rPr>
      </w:pPr>
      <w:r>
        <w:t xml:space="preserve">The Manager shall not initiate any communication with any member of the Florida Prepaid College Board, on any matter related to this Agreement or related to the duties of the Board under Chapter 1009, Florida Statutes, or which in any way relate to the Manager’s activities. Except at publicly noticed meetings of the aforementioned boards or any of their committees, all communication by the Manager directed to the Board shall only be sent to the Executive Director of the Board who will </w:t>
      </w:r>
      <w:r>
        <w:lastRenderedPageBreak/>
        <w:t>forward same to the appropriate party. If the Manager receives any communication from any member of the boards, the Manager shall notify the Executive Director of the Board immediately, and shall take no further action on any matter related to this Agreement or any other matter related to the duties of the Board under Chapter 1009, Florida Statutes, until advised by the Executive Director.</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F.</w:t>
      </w:r>
      <w:r>
        <w:rPr>
          <w:b/>
          <w:smallCaps/>
        </w:rPr>
        <w:tab/>
        <w:t>Notices</w:t>
      </w:r>
    </w:p>
    <w:p w:rsidR="00974902" w:rsidRDefault="00AF24A7">
      <w:pPr>
        <w:pStyle w:val="BAS-Normal0"/>
        <w:numPr>
          <w:ilvl w:val="0"/>
          <w:numId w:val="19"/>
        </w:numPr>
        <w:ind w:left="0" w:firstLine="720"/>
      </w:pPr>
      <w:r>
        <w:t>Where notice is to be sent, it shall be addressed to:</w:t>
      </w:r>
    </w:p>
    <w:p w:rsidR="00974902" w:rsidRDefault="00974902">
      <w:pPr>
        <w:pStyle w:val="BAS-Normal0"/>
      </w:pPr>
    </w:p>
    <w:p w:rsidR="00974902" w:rsidRDefault="00AF24A7">
      <w:pPr>
        <w:pStyle w:val="BAS-Normal0"/>
      </w:pPr>
      <w:r>
        <w:rPr>
          <w:b/>
        </w:rPr>
        <w:t>FLORIDA PREAPID COLLEGE BOARD</w:t>
      </w:r>
      <w:r>
        <w:rPr>
          <w:b/>
        </w:rPr>
        <w:tab/>
      </w:r>
      <w:r>
        <w:rPr>
          <w:b/>
        </w:rPr>
        <w:tab/>
      </w:r>
      <w:r>
        <w:rPr>
          <w:b/>
        </w:rPr>
        <w:tab/>
      </w:r>
      <w:r>
        <w:rPr>
          <w:b/>
        </w:rPr>
        <w:tab/>
        <w:t>THE MANAGER</w:t>
      </w:r>
      <w:r>
        <w:rPr>
          <w:b/>
        </w:rPr>
        <w:tab/>
      </w:r>
      <w:r>
        <w:rPr>
          <w:b/>
        </w:rPr>
        <w:br/>
      </w:r>
      <w:r>
        <w:t>Kevin Thompson</w:t>
      </w:r>
      <w:r>
        <w:tab/>
      </w:r>
      <w:r>
        <w:tab/>
      </w:r>
      <w:r>
        <w:tab/>
      </w:r>
      <w:r>
        <w:tab/>
      </w:r>
      <w:r>
        <w:tab/>
      </w:r>
      <w:r>
        <w:tab/>
        <w:t>_________________________________</w:t>
      </w:r>
      <w:r>
        <w:br/>
        <w:t>Executive Director</w:t>
      </w:r>
      <w:r>
        <w:tab/>
      </w:r>
      <w:r>
        <w:tab/>
      </w:r>
      <w:r>
        <w:tab/>
      </w:r>
      <w:r>
        <w:tab/>
      </w:r>
      <w:r>
        <w:tab/>
      </w:r>
      <w:r>
        <w:tab/>
        <w:t>_________________________________</w:t>
      </w:r>
      <w:r>
        <w:br/>
        <w:t>1801 Hermitage Boulevard, Suite 210</w:t>
      </w:r>
      <w:r>
        <w:tab/>
      </w:r>
      <w:r>
        <w:tab/>
      </w:r>
      <w:r>
        <w:tab/>
      </w:r>
      <w:r>
        <w:tab/>
        <w:t>_________________________________</w:t>
      </w:r>
      <w:r>
        <w:br/>
        <w:t>Tallahassee, FL 32308</w:t>
      </w:r>
      <w:r>
        <w:tab/>
      </w:r>
      <w:r>
        <w:tab/>
      </w:r>
      <w:r>
        <w:tab/>
      </w:r>
      <w:r>
        <w:tab/>
      </w:r>
      <w:r>
        <w:tab/>
      </w:r>
      <w:r>
        <w:tab/>
        <w:t>_________________________________</w:t>
      </w:r>
      <w:r>
        <w:br/>
        <w:t>Telephone: (850) 488 - 8514</w:t>
      </w:r>
      <w:r>
        <w:tab/>
      </w:r>
      <w:r>
        <w:tab/>
      </w:r>
      <w:r>
        <w:tab/>
      </w:r>
      <w:r>
        <w:tab/>
      </w:r>
      <w:r>
        <w:tab/>
        <w:t>_________________________________</w:t>
      </w:r>
      <w:r>
        <w:br/>
        <w:t>Facsimile: (850) 488 - 3555</w:t>
      </w:r>
      <w:r>
        <w:tab/>
      </w:r>
      <w:r>
        <w:tab/>
      </w:r>
      <w:r>
        <w:tab/>
      </w:r>
      <w:r>
        <w:tab/>
      </w:r>
      <w:r>
        <w:tab/>
        <w:t>_________________________________</w:t>
      </w:r>
      <w:r>
        <w:br/>
      </w:r>
    </w:p>
    <w:p w:rsidR="00974902" w:rsidRDefault="00AF24A7">
      <w:pPr>
        <w:pStyle w:val="BAS-Normal0"/>
        <w:ind w:firstLine="720"/>
      </w:pPr>
      <w:r>
        <w:t>With copy to:</w:t>
      </w:r>
    </w:p>
    <w:p w:rsidR="00974902" w:rsidRDefault="00974902">
      <w:pPr>
        <w:pStyle w:val="BAS-Normal0"/>
      </w:pPr>
    </w:p>
    <w:p w:rsidR="00974902" w:rsidRDefault="00AF24A7">
      <w:pPr>
        <w:pStyle w:val="BAS-Normal0"/>
      </w:pPr>
      <w:r>
        <w:t>GrayRobinson, P.A.</w:t>
      </w:r>
      <w:r>
        <w:tab/>
      </w:r>
      <w:r>
        <w:tab/>
      </w:r>
      <w:r>
        <w:tab/>
      </w:r>
      <w:r>
        <w:tab/>
      </w:r>
      <w:r>
        <w:tab/>
      </w:r>
      <w:r>
        <w:tab/>
        <w:t>_________________________________</w:t>
      </w:r>
      <w:r>
        <w:br/>
        <w:t>Attention: Jason Unger, Esq.</w:t>
      </w:r>
      <w:r>
        <w:tab/>
      </w:r>
      <w:r>
        <w:tab/>
      </w:r>
      <w:r>
        <w:tab/>
      </w:r>
      <w:r>
        <w:tab/>
      </w:r>
      <w:r>
        <w:tab/>
        <w:t>_________________________________</w:t>
      </w:r>
      <w:r>
        <w:br/>
        <w:t>301 S. Bronough Street, Suite 600</w:t>
      </w:r>
      <w:r>
        <w:tab/>
      </w:r>
      <w:r>
        <w:tab/>
      </w:r>
      <w:r>
        <w:tab/>
      </w:r>
      <w:r>
        <w:tab/>
        <w:t>_________________________________</w:t>
      </w:r>
      <w:r>
        <w:br/>
        <w:t>Tallahassee, FL 32301</w:t>
      </w:r>
      <w:r>
        <w:tab/>
      </w:r>
      <w:r>
        <w:tab/>
      </w:r>
      <w:r>
        <w:tab/>
      </w:r>
      <w:r>
        <w:tab/>
      </w:r>
      <w:r>
        <w:tab/>
      </w:r>
      <w:r>
        <w:tab/>
        <w:t>_________________________________</w:t>
      </w:r>
      <w:r>
        <w:br/>
        <w:t>Telephone: (850) 577 - 9090</w:t>
      </w:r>
      <w:r>
        <w:tab/>
      </w:r>
      <w:r>
        <w:tab/>
      </w:r>
      <w:r>
        <w:tab/>
      </w:r>
      <w:r>
        <w:tab/>
      </w:r>
      <w:r>
        <w:tab/>
        <w:t>_________________________________</w:t>
      </w:r>
      <w:r>
        <w:br/>
        <w:t>Facsimile: (850) 222 - 3494</w:t>
      </w:r>
      <w:r>
        <w:tab/>
      </w:r>
      <w:r>
        <w:tab/>
      </w:r>
      <w:r>
        <w:tab/>
      </w:r>
      <w:r>
        <w:tab/>
      </w:r>
      <w:r>
        <w:tab/>
        <w:t>_________________________________</w:t>
      </w:r>
    </w:p>
    <w:p w:rsidR="00974902" w:rsidRDefault="00974902">
      <w:pPr>
        <w:pStyle w:val="BAS-Normal0"/>
      </w:pPr>
    </w:p>
    <w:p w:rsidR="00974902" w:rsidRDefault="00AF24A7">
      <w:pPr>
        <w:pStyle w:val="BAS-Normal0"/>
        <w:spacing w:before="120" w:after="120"/>
        <w:rPr>
          <w:b/>
          <w:smallCaps/>
        </w:rPr>
      </w:pPr>
      <w:r>
        <w:rPr>
          <w:b/>
          <w:smallCaps/>
        </w:rPr>
        <w:t>G.</w:t>
      </w:r>
      <w:r>
        <w:rPr>
          <w:b/>
          <w:smallCaps/>
        </w:rPr>
        <w:tab/>
        <w:t>Titles</w:t>
      </w:r>
    </w:p>
    <w:p w:rsidR="00974902" w:rsidRDefault="00AF24A7">
      <w:pPr>
        <w:pStyle w:val="BAS-Normal0"/>
        <w:numPr>
          <w:ilvl w:val="0"/>
          <w:numId w:val="20"/>
        </w:numPr>
        <w:ind w:left="0" w:firstLine="720"/>
      </w:pPr>
      <w:r>
        <w:t>All titles, headings or captions respecting the section or paragraphs of this Agreement are for convenience or reference only and will not be construed as a part or limitation of those provisions to which they refer.</w:t>
      </w:r>
    </w:p>
    <w:p w:rsidR="00974902" w:rsidRDefault="00974902">
      <w:pPr>
        <w:pStyle w:val="BAS-Normal0"/>
      </w:pPr>
    </w:p>
    <w:p w:rsidR="00974902" w:rsidRDefault="00974902">
      <w:pPr>
        <w:pStyle w:val="BAS-Normal0"/>
      </w:pPr>
    </w:p>
    <w:p w:rsidR="00974902" w:rsidRDefault="00AF24A7">
      <w:pPr>
        <w:pStyle w:val="BAS-Normal0"/>
        <w:spacing w:before="120" w:after="120"/>
        <w:rPr>
          <w:b/>
          <w:smallCaps/>
        </w:rPr>
      </w:pPr>
      <w:r>
        <w:rPr>
          <w:b/>
          <w:smallCaps/>
        </w:rPr>
        <w:t>H.</w:t>
      </w:r>
      <w:r>
        <w:rPr>
          <w:b/>
          <w:smallCaps/>
        </w:rPr>
        <w:tab/>
        <w:t>Binding Effect</w:t>
      </w:r>
    </w:p>
    <w:p w:rsidR="00974902" w:rsidRDefault="00AF24A7">
      <w:pPr>
        <w:pStyle w:val="BAS-Normal0"/>
        <w:numPr>
          <w:ilvl w:val="0"/>
          <w:numId w:val="21"/>
        </w:numPr>
        <w:ind w:left="0" w:firstLine="720"/>
      </w:pPr>
      <w:r>
        <w:t>This Agreement shall be binding upon the parties, their related or resulting organizations, successors or transferees, administrative staff, agents, and attorneys.</w:t>
      </w:r>
    </w:p>
    <w:p w:rsidR="00974902" w:rsidRDefault="00974902">
      <w:pPr>
        <w:pStyle w:val="BAS-Normal0"/>
      </w:pPr>
    </w:p>
    <w:p w:rsidR="00974902" w:rsidRDefault="00974902">
      <w:pPr>
        <w:pStyle w:val="BAS-Normal0"/>
      </w:pPr>
    </w:p>
    <w:p w:rsidR="00974902" w:rsidRDefault="00AF24A7">
      <w:pPr>
        <w:pStyle w:val="BAS-Normal0"/>
        <w:numPr>
          <w:ilvl w:val="0"/>
          <w:numId w:val="23"/>
        </w:numPr>
        <w:spacing w:before="120" w:after="120"/>
        <w:ind w:left="720"/>
        <w:rPr>
          <w:b/>
          <w:smallCaps/>
        </w:rPr>
      </w:pPr>
      <w:r>
        <w:rPr>
          <w:b/>
          <w:smallCaps/>
        </w:rPr>
        <w:t>Waiver</w:t>
      </w:r>
    </w:p>
    <w:p w:rsidR="00974902" w:rsidRDefault="00AF24A7">
      <w:pPr>
        <w:pStyle w:val="BAS-Normal0"/>
        <w:numPr>
          <w:ilvl w:val="0"/>
          <w:numId w:val="22"/>
        </w:numPr>
        <w:ind w:left="0" w:firstLine="720"/>
      </w:pPr>
      <w:r>
        <w:t xml:space="preserve">Failure of either party to this Agreement to object to or to take affirmative action with respect to any conduct of the other that is in violation of the terms of this Agreement will not be construed as a waiver of the violation or breach, or of any future violation or breach. </w:t>
      </w:r>
    </w:p>
    <w:p w:rsidR="00974902" w:rsidRDefault="00974902">
      <w:pPr>
        <w:pStyle w:val="BAS-Normal0"/>
        <w:ind w:left="720"/>
      </w:pPr>
    </w:p>
    <w:p w:rsidR="00974902" w:rsidRDefault="00974902">
      <w:pPr>
        <w:pStyle w:val="BAS-Normal0"/>
        <w:ind w:left="720"/>
      </w:pPr>
    </w:p>
    <w:p w:rsidR="00974902" w:rsidRDefault="00AF24A7">
      <w:pPr>
        <w:pStyle w:val="BAS-Normal0"/>
        <w:numPr>
          <w:ilvl w:val="0"/>
          <w:numId w:val="24"/>
        </w:numPr>
        <w:spacing w:before="120" w:after="120"/>
        <w:ind w:hanging="720"/>
        <w:rPr>
          <w:b/>
          <w:smallCaps/>
        </w:rPr>
      </w:pPr>
      <w:r>
        <w:rPr>
          <w:b/>
          <w:smallCaps/>
        </w:rPr>
        <w:lastRenderedPageBreak/>
        <w:t>Invoices</w:t>
      </w:r>
    </w:p>
    <w:p w:rsidR="00974902" w:rsidRDefault="00AF24A7">
      <w:pPr>
        <w:pStyle w:val="BAS-Normal0"/>
        <w:numPr>
          <w:ilvl w:val="0"/>
          <w:numId w:val="25"/>
        </w:numPr>
        <w:ind w:left="0" w:firstLine="720"/>
      </w:pPr>
      <w:r>
        <w:t>Any invoices submitted by the Manager seeking payment for services rendered under the terms of this Agreement will be submitted to the Board in sufficient detail to ensure proper pre-audit and post-audit review time.</w:t>
      </w:r>
    </w:p>
    <w:p w:rsidR="00974902" w:rsidRDefault="00974902">
      <w:pPr>
        <w:pStyle w:val="BAS-Normal0"/>
      </w:pPr>
    </w:p>
    <w:p w:rsidR="00974902" w:rsidRDefault="00974902">
      <w:pPr>
        <w:pStyle w:val="BAS-Normal0"/>
        <w:rPr>
          <w:b/>
          <w:smallCaps/>
        </w:rPr>
      </w:pPr>
    </w:p>
    <w:p w:rsidR="00974902" w:rsidRDefault="00AF24A7">
      <w:pPr>
        <w:pStyle w:val="BAS-Normal0"/>
        <w:numPr>
          <w:ilvl w:val="0"/>
          <w:numId w:val="24"/>
        </w:numPr>
        <w:spacing w:before="120" w:after="120"/>
        <w:ind w:hanging="720"/>
        <w:rPr>
          <w:b/>
          <w:smallCaps/>
        </w:rPr>
      </w:pPr>
      <w:r>
        <w:rPr>
          <w:b/>
          <w:smallCaps/>
        </w:rPr>
        <w:t>Entire Agreement; Amendments</w:t>
      </w:r>
    </w:p>
    <w:p w:rsidR="00974902" w:rsidRDefault="00AF24A7">
      <w:pPr>
        <w:pStyle w:val="BAS-Normal0"/>
        <w:numPr>
          <w:ilvl w:val="0"/>
          <w:numId w:val="26"/>
        </w:numPr>
        <w:ind w:left="0" w:firstLine="720"/>
      </w:pPr>
      <w:r>
        <w:t>This Agreement constitutes the entire agreement between the parties and supersedes any prior written or oral agreements between them. No modification or waiver of this agreement is valid unless written and properly executed by both parties.</w:t>
      </w:r>
    </w:p>
    <w:p w:rsidR="00974902" w:rsidRDefault="00974902">
      <w:pPr>
        <w:pStyle w:val="BAS-Normal0"/>
      </w:pPr>
    </w:p>
    <w:p w:rsidR="00974902" w:rsidRDefault="00974902">
      <w:pPr>
        <w:pStyle w:val="BAS-Normal0"/>
      </w:pPr>
    </w:p>
    <w:p w:rsidR="00974902" w:rsidRDefault="00974902">
      <w:pPr>
        <w:pStyle w:val="BAS-Normal0"/>
      </w:pPr>
    </w:p>
    <w:p w:rsidR="00974902" w:rsidRDefault="00AF24A7">
      <w:pPr>
        <w:pStyle w:val="BAS-Normal0"/>
        <w:jc w:val="center"/>
        <w:rPr>
          <w:i/>
        </w:rPr>
      </w:pPr>
      <w:r>
        <w:rPr>
          <w:i/>
        </w:rPr>
        <w:t>The remainder of this page was intentionally left blank</w:t>
      </w:r>
    </w:p>
    <w:p w:rsidR="00974902" w:rsidRDefault="00AF24A7">
      <w:pPr>
        <w:pStyle w:val="BAS-Normal0"/>
      </w:pPr>
      <w:r>
        <w:br w:type="page"/>
      </w:r>
    </w:p>
    <w:p w:rsidR="00974902" w:rsidRDefault="00AF24A7">
      <w:pPr>
        <w:pStyle w:val="BAS-Normal0"/>
        <w:ind w:firstLine="720"/>
      </w:pPr>
      <w:r>
        <w:rPr>
          <w:b/>
        </w:rPr>
        <w:lastRenderedPageBreak/>
        <w:t>IN WITNESS THEREOF</w:t>
      </w:r>
      <w:r>
        <w:t>, the parties have caused this Agreement to be executed and attested by their respective officers thereunto duly authorized on the day and year first above written.</w:t>
      </w:r>
    </w:p>
    <w:p w:rsidR="00974902" w:rsidRDefault="00974902">
      <w:pPr>
        <w:pStyle w:val="BAS-Normal0"/>
        <w:ind w:firstLine="720"/>
      </w:pPr>
    </w:p>
    <w:p w:rsidR="00974902" w:rsidRDefault="00AF24A7">
      <w:pPr>
        <w:pStyle w:val="BAS-Normal0"/>
      </w:pPr>
      <w:r>
        <w:tab/>
      </w:r>
      <w:r>
        <w:tab/>
      </w:r>
      <w:r>
        <w:tab/>
      </w:r>
      <w:r>
        <w:tab/>
      </w:r>
      <w:r>
        <w:tab/>
      </w:r>
      <w:r>
        <w:tab/>
      </w:r>
      <w:r>
        <w:tab/>
      </w:r>
      <w:r>
        <w:tab/>
        <w:t>Florida Prepaid College Board</w:t>
      </w:r>
    </w:p>
    <w:p w:rsidR="00974902" w:rsidRDefault="00974902">
      <w:pPr>
        <w:pStyle w:val="BAS-Normal0"/>
      </w:pPr>
    </w:p>
    <w:p w:rsidR="00974902" w:rsidRDefault="00AF24A7">
      <w:pPr>
        <w:pStyle w:val="BAS-Normal0"/>
      </w:pPr>
      <w:r>
        <w:t>_________________________________</w:t>
      </w:r>
      <w:r>
        <w:tab/>
      </w:r>
      <w:r>
        <w:tab/>
      </w:r>
      <w:r>
        <w:tab/>
      </w:r>
      <w:r>
        <w:tab/>
        <w:t>By: _________________________________</w:t>
      </w:r>
      <w:r>
        <w:br/>
      </w:r>
    </w:p>
    <w:p w:rsidR="00974902" w:rsidRDefault="00AF24A7">
      <w:pPr>
        <w:pStyle w:val="BAS-Normal0"/>
      </w:pPr>
      <w:r>
        <w:t xml:space="preserve">Attested to by </w:t>
      </w:r>
      <w:r>
        <w:tab/>
      </w:r>
      <w:r>
        <w:tab/>
      </w:r>
      <w:r>
        <w:tab/>
      </w:r>
      <w:r>
        <w:tab/>
      </w:r>
      <w:r>
        <w:tab/>
      </w:r>
      <w:r>
        <w:tab/>
      </w:r>
      <w:r>
        <w:tab/>
        <w:t>Its: Executive Director</w:t>
      </w:r>
      <w:r>
        <w:tab/>
      </w:r>
      <w:r>
        <w:tab/>
      </w:r>
      <w:r>
        <w:tab/>
      </w:r>
    </w:p>
    <w:p w:rsidR="00974902" w:rsidRDefault="00974902">
      <w:pPr>
        <w:pStyle w:val="BAS-Normal0"/>
      </w:pPr>
    </w:p>
    <w:p w:rsidR="00974902" w:rsidRDefault="00AF24A7">
      <w:pPr>
        <w:pStyle w:val="BAS-Normal0"/>
      </w:pPr>
      <w:r>
        <w:t>_________________________________</w:t>
      </w:r>
      <w:r>
        <w:tab/>
      </w:r>
      <w:r>
        <w:tab/>
      </w:r>
      <w:r>
        <w:tab/>
      </w:r>
      <w:r>
        <w:tab/>
        <w:t>(Seal)</w:t>
      </w:r>
      <w:r>
        <w:br/>
        <w:t>Witness</w:t>
      </w:r>
    </w:p>
    <w:p w:rsidR="00974902" w:rsidRDefault="00974902">
      <w:pPr>
        <w:pStyle w:val="BAS-Normal0"/>
      </w:pPr>
    </w:p>
    <w:p w:rsidR="00974902" w:rsidRDefault="00AF24A7">
      <w:pPr>
        <w:pStyle w:val="BAS-Normal0"/>
      </w:pPr>
      <w:r>
        <w:t>STATE OF FLORIDA</w:t>
      </w:r>
    </w:p>
    <w:p w:rsidR="00974902" w:rsidRDefault="00AF24A7">
      <w:pPr>
        <w:pStyle w:val="BAS-Normal0"/>
      </w:pPr>
      <w:r>
        <w:t>COUNTY OF _________________________________</w:t>
      </w:r>
    </w:p>
    <w:p w:rsidR="00974902" w:rsidRDefault="00974902">
      <w:pPr>
        <w:pStyle w:val="BAS-Normal0"/>
      </w:pPr>
    </w:p>
    <w:p w:rsidR="00974902" w:rsidRDefault="00AF24A7">
      <w:pPr>
        <w:pStyle w:val="BAS-Normal0"/>
      </w:pPr>
      <w:r>
        <w:t xml:space="preserve">Before me, the undersigned authority, personally came and appeared KEVIN THOMPSON, EXECUTIVE DIRECTOR OF the FLORIDA PREPAID COLLEGE BOARD, who is personally known to me or who has produced _________________________________ as identification.  </w:t>
      </w:r>
    </w:p>
    <w:p w:rsidR="00974902" w:rsidRDefault="00974902">
      <w:pPr>
        <w:pStyle w:val="BAS-Normal0"/>
      </w:pPr>
    </w:p>
    <w:p w:rsidR="00974902" w:rsidRDefault="00AF24A7">
      <w:pPr>
        <w:pStyle w:val="BAS-Normal0"/>
      </w:pPr>
      <w:r>
        <w:t>In witness whereof, I have placed my hand and seal in the county and state last aforesaid, this _____ day of _______________, ________.</w:t>
      </w:r>
    </w:p>
    <w:p w:rsidR="00974902" w:rsidRDefault="00974902">
      <w:pPr>
        <w:pStyle w:val="BAS-Normal0"/>
      </w:pPr>
    </w:p>
    <w:p w:rsidR="00974902" w:rsidRDefault="00AF24A7">
      <w:pPr>
        <w:pStyle w:val="BAS-Normal0"/>
      </w:pPr>
      <w:r>
        <w:tab/>
      </w:r>
      <w:r>
        <w:tab/>
      </w:r>
      <w:r>
        <w:tab/>
      </w:r>
      <w:r>
        <w:tab/>
      </w:r>
      <w:r>
        <w:tab/>
      </w:r>
      <w:r>
        <w:tab/>
      </w:r>
      <w:r>
        <w:tab/>
      </w:r>
      <w:r>
        <w:tab/>
        <w:t>___________________________________________</w:t>
      </w:r>
    </w:p>
    <w:p w:rsidR="00974902" w:rsidRDefault="00AF24A7">
      <w:pPr>
        <w:pStyle w:val="BAS-Normal0"/>
        <w:ind w:left="5040" w:firstLine="720"/>
      </w:pPr>
      <w:r>
        <w:t>Notary Public, State of Florida at Large</w:t>
      </w:r>
      <w:r>
        <w:tab/>
      </w:r>
    </w:p>
    <w:p w:rsidR="00974902" w:rsidRDefault="00AF24A7">
      <w:pPr>
        <w:pStyle w:val="BAS-Normal0"/>
        <w:ind w:left="5040" w:firstLine="720"/>
      </w:pPr>
      <w:r>
        <w:t>Printed Name: ____________________________</w:t>
      </w:r>
    </w:p>
    <w:p w:rsidR="00974902" w:rsidRDefault="00AF24A7">
      <w:pPr>
        <w:pStyle w:val="BAS-Normal0"/>
        <w:ind w:left="5040" w:firstLine="720"/>
      </w:pPr>
      <w:r>
        <w:t>My Commission Expires: ___________________</w:t>
      </w:r>
      <w:r>
        <w:br w:type="page"/>
      </w:r>
    </w:p>
    <w:p w:rsidR="00974902" w:rsidRDefault="00AF24A7">
      <w:pPr>
        <w:pStyle w:val="BAS-Normal0"/>
        <w:ind w:firstLine="720"/>
      </w:pPr>
      <w:r>
        <w:rPr>
          <w:b/>
        </w:rPr>
        <w:lastRenderedPageBreak/>
        <w:t>IN WITNESS THEREOF</w:t>
      </w:r>
      <w:r>
        <w:t>, the parties have caused this Agreement to be executed and attested by their respective officers thereunto duly authorized on the day and year first above written.</w:t>
      </w:r>
    </w:p>
    <w:p w:rsidR="00974902" w:rsidRDefault="00974902">
      <w:pPr>
        <w:pStyle w:val="BAS-Normal0"/>
        <w:ind w:firstLine="720"/>
      </w:pPr>
    </w:p>
    <w:p w:rsidR="00974902" w:rsidRDefault="00AF24A7">
      <w:pPr>
        <w:pStyle w:val="BAS-Normal0"/>
      </w:pPr>
      <w:r>
        <w:tab/>
      </w:r>
      <w:r>
        <w:tab/>
      </w:r>
      <w:r>
        <w:tab/>
      </w:r>
      <w:r>
        <w:tab/>
      </w:r>
      <w:r>
        <w:tab/>
      </w:r>
      <w:r>
        <w:tab/>
      </w:r>
      <w:r>
        <w:tab/>
      </w:r>
      <w:r>
        <w:tab/>
        <w:t>________________________________________</w:t>
      </w:r>
    </w:p>
    <w:p w:rsidR="00974902" w:rsidRDefault="00974902">
      <w:pPr>
        <w:pStyle w:val="BAS-Normal0"/>
      </w:pPr>
    </w:p>
    <w:p w:rsidR="00974902" w:rsidRDefault="00AF24A7">
      <w:pPr>
        <w:pStyle w:val="BAS-Normal0"/>
      </w:pPr>
      <w:r>
        <w:t>_________________________________</w:t>
      </w:r>
      <w:r>
        <w:tab/>
      </w:r>
      <w:r>
        <w:tab/>
      </w:r>
      <w:r>
        <w:tab/>
      </w:r>
      <w:r>
        <w:tab/>
        <w:t>By: _________________________________</w:t>
      </w:r>
      <w:r>
        <w:br/>
      </w:r>
    </w:p>
    <w:p w:rsidR="00974902" w:rsidRDefault="00AF24A7">
      <w:pPr>
        <w:pStyle w:val="BAS-Normal0"/>
      </w:pPr>
      <w:r>
        <w:t xml:space="preserve">Attested to by </w:t>
      </w:r>
      <w:r>
        <w:tab/>
      </w:r>
      <w:r>
        <w:tab/>
      </w:r>
      <w:r>
        <w:tab/>
      </w:r>
      <w:r>
        <w:tab/>
      </w:r>
      <w:r>
        <w:tab/>
      </w:r>
      <w:r>
        <w:tab/>
      </w:r>
      <w:r>
        <w:tab/>
        <w:t>Its:</w:t>
      </w:r>
      <w:r>
        <w:tab/>
        <w:t>_________________________________</w:t>
      </w:r>
      <w:r>
        <w:tab/>
      </w:r>
      <w:r>
        <w:br/>
      </w:r>
    </w:p>
    <w:p w:rsidR="00974902" w:rsidRDefault="00974902">
      <w:pPr>
        <w:pStyle w:val="BAS-Normal0"/>
      </w:pPr>
    </w:p>
    <w:p w:rsidR="00974902" w:rsidRDefault="00AF24A7">
      <w:pPr>
        <w:pStyle w:val="BAS-Normal0"/>
      </w:pPr>
      <w:r>
        <w:t>_________________________________</w:t>
      </w:r>
      <w:r>
        <w:tab/>
      </w:r>
      <w:r>
        <w:tab/>
      </w:r>
      <w:r>
        <w:tab/>
      </w:r>
      <w:r>
        <w:tab/>
        <w:t>(Seal)</w:t>
      </w:r>
      <w:r>
        <w:br/>
        <w:t>Witness</w:t>
      </w:r>
    </w:p>
    <w:p w:rsidR="00974902" w:rsidRDefault="00974902">
      <w:pPr>
        <w:pStyle w:val="BAS-Normal0"/>
      </w:pPr>
    </w:p>
    <w:p w:rsidR="00974902" w:rsidRDefault="00AF24A7">
      <w:pPr>
        <w:pStyle w:val="BAS-Normal0"/>
      </w:pPr>
      <w:r>
        <w:t>STATE OF FLORIDA</w:t>
      </w:r>
    </w:p>
    <w:p w:rsidR="00974902" w:rsidRDefault="00AF24A7">
      <w:pPr>
        <w:pStyle w:val="BAS-Normal0"/>
      </w:pPr>
      <w:r>
        <w:t xml:space="preserve">COUNTY OF </w:t>
      </w:r>
      <w:r>
        <w:tab/>
        <w:t>_________________________________</w:t>
      </w:r>
    </w:p>
    <w:p w:rsidR="00974902" w:rsidRDefault="00974902">
      <w:pPr>
        <w:pStyle w:val="BAS-Normal0"/>
      </w:pPr>
    </w:p>
    <w:p w:rsidR="00974902" w:rsidRDefault="00AF24A7">
      <w:pPr>
        <w:pStyle w:val="BAS-Normal0"/>
      </w:pPr>
      <w:r>
        <w:t xml:space="preserve">Before me, the undersigned authority, personally came and appeared _________________________________, of ___________________________________________, who is personally known to me or who has produced _________________________________ as identification.  </w:t>
      </w:r>
    </w:p>
    <w:p w:rsidR="00974902" w:rsidRDefault="00974902">
      <w:pPr>
        <w:pStyle w:val="BAS-Normal0"/>
      </w:pPr>
    </w:p>
    <w:p w:rsidR="00974902" w:rsidRDefault="00AF24A7">
      <w:pPr>
        <w:pStyle w:val="BAS-Normal0"/>
      </w:pPr>
      <w:r>
        <w:t>In witness whereof, I have placed my hand and seal in the county and state last aforesaid, this _____ day of _______________, ________.</w:t>
      </w:r>
    </w:p>
    <w:p w:rsidR="00974902" w:rsidRDefault="00974902">
      <w:pPr>
        <w:pStyle w:val="BAS-Normal0"/>
      </w:pPr>
    </w:p>
    <w:p w:rsidR="00974902" w:rsidRDefault="00AF24A7">
      <w:pPr>
        <w:pStyle w:val="BAS-Normal0"/>
      </w:pPr>
      <w:r>
        <w:tab/>
      </w:r>
      <w:r>
        <w:tab/>
      </w:r>
      <w:r>
        <w:tab/>
      </w:r>
      <w:r>
        <w:tab/>
      </w:r>
      <w:r>
        <w:tab/>
      </w:r>
      <w:r>
        <w:tab/>
      </w:r>
      <w:r>
        <w:tab/>
      </w:r>
      <w:r>
        <w:tab/>
        <w:t>___________________________________________</w:t>
      </w:r>
    </w:p>
    <w:p w:rsidR="00974902" w:rsidRDefault="00AF24A7">
      <w:pPr>
        <w:pStyle w:val="BAS-Normal0"/>
        <w:ind w:left="5040" w:firstLine="720"/>
      </w:pPr>
      <w:r>
        <w:t>Notary Public, State of Florida at Large</w:t>
      </w:r>
      <w:r>
        <w:tab/>
      </w:r>
    </w:p>
    <w:p w:rsidR="00974902" w:rsidRDefault="00AF24A7">
      <w:pPr>
        <w:pStyle w:val="BAS-Normal0"/>
        <w:ind w:left="5040" w:firstLine="720"/>
      </w:pPr>
      <w:r>
        <w:t>Printed Name: ____________________________</w:t>
      </w:r>
    </w:p>
    <w:p w:rsidR="00974902" w:rsidRDefault="00AF24A7">
      <w:pPr>
        <w:pStyle w:val="BAS-Normal0"/>
        <w:ind w:left="5040" w:firstLine="720"/>
      </w:pPr>
      <w:r>
        <w:t>My Commission Expires: ___________________</w:t>
      </w:r>
    </w:p>
    <w:p w:rsidR="00974902" w:rsidRDefault="00974902">
      <w:pPr>
        <w:pStyle w:val="BAS-Normal0"/>
        <w:sectPr w:rsidR="00974902">
          <w:footerReference w:type="default" r:id="rId25"/>
          <w:footerReference w:type="first" r:id="rId26"/>
          <w:pgSz w:w="12240" w:h="15840"/>
          <w:pgMar w:top="1080" w:right="1080" w:bottom="1080" w:left="1080" w:header="720" w:footer="720" w:gutter="0"/>
          <w:pgNumType w:start="1"/>
          <w:cols w:space="720"/>
          <w:titlePg/>
          <w:docGrid w:linePitch="360"/>
        </w:sectPr>
      </w:pPr>
    </w:p>
    <w:p w:rsidR="00974902" w:rsidRDefault="00974902">
      <w:pPr>
        <w:pStyle w:val="BAS-Normal0"/>
      </w:pPr>
    </w:p>
    <w:p w:rsidR="00974902" w:rsidRDefault="00AF24A7">
      <w:pPr>
        <w:pStyle w:val="BAS-Heading1Alt"/>
        <w:jc w:val="center"/>
      </w:pPr>
      <w:r>
        <w:t>Exhibit A</w:t>
      </w:r>
    </w:p>
    <w:p w:rsidR="00974902" w:rsidRDefault="00AF24A7">
      <w:pPr>
        <w:pStyle w:val="BAS-Heading1Alt"/>
        <w:jc w:val="center"/>
      </w:pPr>
      <w:r>
        <w:t>Invitation to NegotiatE</w:t>
      </w:r>
    </w:p>
    <w:p w:rsidR="00974902" w:rsidRDefault="00AF24A7">
      <w:pPr>
        <w:pStyle w:val="BAS-Normal0"/>
      </w:pPr>
      <w:r>
        <w:br w:type="page"/>
      </w:r>
    </w:p>
    <w:p w:rsidR="00974902" w:rsidRDefault="00AF24A7">
      <w:pPr>
        <w:pStyle w:val="BAS-Heading1Alt"/>
        <w:jc w:val="center"/>
      </w:pPr>
      <w:r>
        <w:lastRenderedPageBreak/>
        <w:t>Exhibit B</w:t>
      </w:r>
    </w:p>
    <w:p w:rsidR="00974902" w:rsidRDefault="00AF24A7">
      <w:pPr>
        <w:pStyle w:val="BAS-Heading1Alt"/>
        <w:jc w:val="center"/>
      </w:pPr>
      <w:r>
        <w:t>Prospectus</w:t>
      </w:r>
    </w:p>
    <w:p w:rsidR="00974902" w:rsidRDefault="00AF24A7">
      <w:pPr>
        <w:pStyle w:val="BAS-Normal0"/>
      </w:pPr>
      <w:r>
        <w:br w:type="page"/>
      </w:r>
    </w:p>
    <w:p w:rsidR="00974902" w:rsidRDefault="00AF24A7">
      <w:pPr>
        <w:pStyle w:val="BAS-Heading1Alt"/>
        <w:jc w:val="center"/>
      </w:pPr>
      <w:r>
        <w:lastRenderedPageBreak/>
        <w:t>Exhibit C</w:t>
      </w:r>
    </w:p>
    <w:p w:rsidR="002A3B24" w:rsidRDefault="00AF24A7">
      <w:pPr>
        <w:pStyle w:val="BAS-Heading1Alt"/>
        <w:jc w:val="center"/>
        <w:sectPr w:rsidR="002A3B24" w:rsidSect="002B103C">
          <w:pgSz w:w="12240" w:h="15840"/>
          <w:pgMar w:top="1080" w:right="1080" w:bottom="1080" w:left="1080" w:header="720" w:footer="720" w:gutter="0"/>
          <w:cols w:space="720"/>
          <w:docGrid w:linePitch="360"/>
        </w:sectPr>
      </w:pPr>
      <w:r>
        <w:t>Marketing and Trademark Materials</w:t>
      </w:r>
    </w:p>
    <w:p w:rsidR="002A3B24" w:rsidRDefault="002A3B24" w:rsidP="002A3B24">
      <w:pPr>
        <w:pStyle w:val="BAS-Heading1"/>
        <w:numPr>
          <w:ilvl w:val="0"/>
          <w:numId w:val="0"/>
        </w:numPr>
        <w:ind w:left="792" w:hanging="792"/>
      </w:pPr>
      <w:bookmarkStart w:id="96" w:name="_Toc481766566"/>
      <w:r>
        <w:lastRenderedPageBreak/>
        <w:t>APPENDIX D</w:t>
      </w:r>
      <w:r>
        <w:tab/>
      </w:r>
      <w:r w:rsidR="00844EAB">
        <w:t>Supplemental questions grid</w:t>
      </w:r>
      <w:bookmarkEnd w:id="96"/>
    </w:p>
    <w:p w:rsidR="00974902" w:rsidRDefault="00974902">
      <w:pPr>
        <w:pStyle w:val="BAS-Heading1Alt"/>
        <w:jc w:val="center"/>
      </w:pPr>
    </w:p>
    <w:sectPr w:rsidR="00974902" w:rsidSect="002B103C">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24" w:rsidRDefault="002A3B24">
      <w:pPr>
        <w:spacing w:after="0" w:line="240" w:lineRule="auto"/>
      </w:pPr>
      <w:r>
        <w:separator/>
      </w:r>
    </w:p>
  </w:endnote>
  <w:endnote w:type="continuationSeparator" w:id="0">
    <w:p w:rsidR="002A3B24" w:rsidRDefault="002A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24" w:rsidRDefault="002A3B24" w:rsidP="0030753C">
    <w:pPr>
      <w:pStyle w:val="Footer"/>
      <w:jc w:val="center"/>
    </w:pPr>
    <w:r>
      <w:fldChar w:fldCharType="begin"/>
    </w:r>
    <w:r>
      <w:instrText xml:space="preserve"> PAGE   \* MERGEFORMAT </w:instrText>
    </w:r>
    <w:r>
      <w:fldChar w:fldCharType="separate"/>
    </w:r>
    <w:r w:rsidR="00437D22">
      <w:rPr>
        <w:noProof/>
      </w:rPr>
      <w:t>i</w:t>
    </w:r>
    <w:r>
      <w:rPr>
        <w:noProof/>
      </w:rPr>
      <w:fldChar w:fldCharType="end"/>
    </w:r>
  </w:p>
  <w:p w:rsidR="002A3B24" w:rsidRDefault="002A3B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0296"/>
    </w:tblGrid>
    <w:tr w:rsidR="002A3B24">
      <w:tc>
        <w:tcPr>
          <w:tcW w:w="10296" w:type="dxa"/>
        </w:tcPr>
        <w:p w:rsidR="002A3B24" w:rsidRDefault="002A3B24">
          <w:pPr>
            <w:pStyle w:val="Footer"/>
            <w:jc w:val="center"/>
          </w:pPr>
        </w:p>
      </w:tc>
    </w:tr>
  </w:tbl>
  <w:p w:rsidR="002A3B24" w:rsidRDefault="002A3B24">
    <w:pPr>
      <w:pStyle w:val="Footer"/>
      <w:jc w:val="center"/>
    </w:pPr>
    <w:r>
      <w:t>C-</w:t>
    </w:r>
    <w:r>
      <w:fldChar w:fldCharType="begin"/>
    </w:r>
    <w:r>
      <w:instrText xml:space="preserve"> PAGE   \* MERGEFORMAT </w:instrText>
    </w:r>
    <w:r>
      <w:fldChar w:fldCharType="separate"/>
    </w:r>
    <w:r w:rsidR="00437D22">
      <w:rPr>
        <w:noProof/>
      </w:rPr>
      <w:t>1</w:t>
    </w:r>
    <w:r>
      <w:rPr>
        <w:noProof/>
      </w:rPr>
      <w:fldChar w:fldCharType="end"/>
    </w:r>
  </w:p>
  <w:p w:rsidR="002A3B24" w:rsidRDefault="002A3B24">
    <w:pPr>
      <w:pStyle w:val="Footer"/>
      <w:tabs>
        <w:tab w:val="clear" w:pos="4680"/>
        <w:tab w:val="clear" w:pos="9360"/>
        <w:tab w:val="left" w:pos="4545"/>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A3B24">
      <w:tc>
        <w:tcPr>
          <w:tcW w:w="10296" w:type="dxa"/>
        </w:tcPr>
        <w:p w:rsidR="002A3B24" w:rsidRDefault="002A3B24">
          <w:pPr>
            <w:pStyle w:val="Footer"/>
            <w:jc w:val="center"/>
          </w:pPr>
        </w:p>
      </w:tc>
    </w:tr>
  </w:tbl>
  <w:p w:rsidR="002A3B24" w:rsidRDefault="002A3B24">
    <w:pPr>
      <w:pStyle w:val="BAS-PlaceHol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A3B24">
      <w:tc>
        <w:tcPr>
          <w:tcW w:w="10296" w:type="dxa"/>
        </w:tcPr>
        <w:p w:rsidR="002A3B24" w:rsidRDefault="002A3B24">
          <w:pPr>
            <w:pStyle w:val="Footer"/>
            <w:jc w:val="center"/>
          </w:pPr>
          <w:r>
            <w:fldChar w:fldCharType="begin"/>
          </w:r>
          <w:r>
            <w:instrText xml:space="preserve"> PAGE   \* MERGEFORMAT </w:instrText>
          </w:r>
          <w:r>
            <w:fldChar w:fldCharType="separate"/>
          </w:r>
          <w:r w:rsidR="00437D22">
            <w:rPr>
              <w:noProof/>
            </w:rPr>
            <w:t>17</w:t>
          </w:r>
          <w:r>
            <w:rPr>
              <w:noProof/>
            </w:rPr>
            <w:fldChar w:fldCharType="end"/>
          </w:r>
        </w:p>
      </w:tc>
    </w:tr>
  </w:tbl>
  <w:p w:rsidR="002A3B24" w:rsidRDefault="002A3B24">
    <w:pPr>
      <w:pStyle w:val="BAS-PlaceHol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A3B24">
      <w:tc>
        <w:tcPr>
          <w:tcW w:w="10296" w:type="dxa"/>
        </w:tcPr>
        <w:p w:rsidR="002A3B24" w:rsidRDefault="002A3B24">
          <w:pPr>
            <w:pStyle w:val="Footer"/>
            <w:jc w:val="center"/>
          </w:pPr>
          <w:r>
            <w:t>A-</w:t>
          </w:r>
          <w:r>
            <w:fldChar w:fldCharType="begin"/>
          </w:r>
          <w:r>
            <w:instrText xml:space="preserve"> PAGE   \* MERGEFORMAT </w:instrText>
          </w:r>
          <w:r>
            <w:fldChar w:fldCharType="separate"/>
          </w:r>
          <w:r w:rsidR="00437D22">
            <w:rPr>
              <w:noProof/>
            </w:rPr>
            <w:t>24</w:t>
          </w:r>
          <w:r>
            <w:rPr>
              <w:noProof/>
            </w:rPr>
            <w:fldChar w:fldCharType="end"/>
          </w:r>
        </w:p>
      </w:tc>
    </w:tr>
  </w:tbl>
  <w:p w:rsidR="002A3B24" w:rsidRDefault="002A3B24">
    <w:pPr>
      <w:pStyle w:val="BAS-PlaceHold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24" w:rsidRDefault="002A3B24">
    <w:pPr>
      <w:pStyle w:val="Footer"/>
      <w:jc w:val="center"/>
    </w:pPr>
  </w:p>
  <w:p w:rsidR="002A3B24" w:rsidRDefault="002A3B24">
    <w:pPr>
      <w:pStyle w:val="BAS-Norm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24" w:rsidRDefault="002A3B24">
    <w:pPr>
      <w:pStyle w:val="Footer"/>
      <w:jc w:val="center"/>
    </w:pPr>
  </w:p>
  <w:p w:rsidR="002A3B24" w:rsidRDefault="002A3B24">
    <w:pPr>
      <w:pStyle w:val="BAS-Normal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A3B24">
      <w:tc>
        <w:tcPr>
          <w:tcW w:w="10296" w:type="dxa"/>
        </w:tcPr>
        <w:p w:rsidR="002A3B24" w:rsidRDefault="002A3B24">
          <w:pPr>
            <w:pStyle w:val="Footer"/>
            <w:jc w:val="center"/>
          </w:pPr>
          <w:r>
            <w:t>B-</w:t>
          </w:r>
          <w:r>
            <w:fldChar w:fldCharType="begin"/>
          </w:r>
          <w:r>
            <w:instrText xml:space="preserve"> PAGE   \* MERGEFORMAT </w:instrText>
          </w:r>
          <w:r>
            <w:fldChar w:fldCharType="separate"/>
          </w:r>
          <w:r w:rsidR="00437D22">
            <w:rPr>
              <w:noProof/>
            </w:rPr>
            <w:t>26</w:t>
          </w:r>
          <w:r>
            <w:rPr>
              <w:noProof/>
            </w:rPr>
            <w:fldChar w:fldCharType="end"/>
          </w:r>
        </w:p>
      </w:tc>
    </w:tr>
  </w:tbl>
  <w:p w:rsidR="002A3B24" w:rsidRDefault="002A3B24">
    <w:pPr>
      <w:pStyle w:val="BAS-PlaceHold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24" w:rsidRDefault="002A3B24">
    <w:pPr>
      <w:pStyle w:val="Footer"/>
      <w:pBdr>
        <w:top w:val="single" w:sz="4" w:space="1" w:color="auto"/>
      </w:pBdr>
      <w:tabs>
        <w:tab w:val="clear" w:pos="4680"/>
        <w:tab w:val="clear" w:pos="9360"/>
      </w:tabs>
      <w:jc w:val="center"/>
      <w:rPr>
        <w:caps/>
        <w:noProof/>
      </w:rPr>
    </w:pPr>
    <w:r>
      <w:rPr>
        <w:caps/>
      </w:rPr>
      <w:t>B-</w:t>
    </w:r>
    <w:r>
      <w:rPr>
        <w:caps/>
      </w:rPr>
      <w:fldChar w:fldCharType="begin"/>
    </w:r>
    <w:r>
      <w:rPr>
        <w:caps/>
      </w:rPr>
      <w:instrText xml:space="preserve"> PAGE   \* MERGEFORMAT </w:instrText>
    </w:r>
    <w:r>
      <w:rPr>
        <w:caps/>
      </w:rPr>
      <w:fldChar w:fldCharType="separate"/>
    </w:r>
    <w:r w:rsidR="00437D22">
      <w:rPr>
        <w:caps/>
        <w:noProof/>
      </w:rPr>
      <w:t>1</w:t>
    </w:r>
    <w:r>
      <w:rPr>
        <w:cap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0296"/>
    </w:tblGrid>
    <w:tr w:rsidR="002A3B24">
      <w:tc>
        <w:tcPr>
          <w:tcW w:w="10296" w:type="dxa"/>
        </w:tcPr>
        <w:p w:rsidR="002A3B24" w:rsidRDefault="002A3B24">
          <w:pPr>
            <w:pStyle w:val="Footer"/>
            <w:jc w:val="center"/>
          </w:pPr>
        </w:p>
      </w:tc>
    </w:tr>
  </w:tbl>
  <w:p w:rsidR="002A3B24" w:rsidRDefault="002A3B24">
    <w:pPr>
      <w:pStyle w:val="Footer"/>
      <w:jc w:val="center"/>
    </w:pPr>
  </w:p>
  <w:p w:rsidR="002A3B24" w:rsidRDefault="002A3B24">
    <w:pPr>
      <w:pStyle w:val="Footer"/>
      <w:tabs>
        <w:tab w:val="clear" w:pos="4680"/>
        <w:tab w:val="clear" w:pos="9360"/>
        <w:tab w:val="left" w:pos="4545"/>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A3B24">
      <w:tc>
        <w:tcPr>
          <w:tcW w:w="10296" w:type="dxa"/>
        </w:tcPr>
        <w:p w:rsidR="002A3B24" w:rsidRDefault="002A3B24">
          <w:pPr>
            <w:pStyle w:val="Footer"/>
            <w:jc w:val="center"/>
          </w:pPr>
          <w:r>
            <w:t>C-</w:t>
          </w:r>
          <w:r>
            <w:fldChar w:fldCharType="begin"/>
          </w:r>
          <w:r>
            <w:instrText xml:space="preserve"> PAGE   \* MERGEFORMAT </w:instrText>
          </w:r>
          <w:r>
            <w:fldChar w:fldCharType="separate"/>
          </w:r>
          <w:r w:rsidR="00437D22">
            <w:rPr>
              <w:noProof/>
            </w:rPr>
            <w:t>13</w:t>
          </w:r>
          <w:r>
            <w:rPr>
              <w:noProof/>
            </w:rPr>
            <w:fldChar w:fldCharType="end"/>
          </w:r>
        </w:p>
      </w:tc>
    </w:tr>
  </w:tbl>
  <w:p w:rsidR="002A3B24" w:rsidRDefault="002A3B24">
    <w:pPr>
      <w:pStyle w:val="BAS-PlaceHol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24" w:rsidRDefault="002A3B24">
      <w:pPr>
        <w:spacing w:after="0" w:line="240" w:lineRule="auto"/>
      </w:pPr>
      <w:r>
        <w:separator/>
      </w:r>
    </w:p>
  </w:footnote>
  <w:footnote w:type="continuationSeparator" w:id="0">
    <w:p w:rsidR="002A3B24" w:rsidRDefault="002A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24" w:rsidRDefault="002A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A3B24">
      <w:tc>
        <w:tcPr>
          <w:tcW w:w="5148" w:type="dxa"/>
        </w:tcPr>
        <w:p w:rsidR="002A3B24" w:rsidRDefault="002A3B24">
          <w:pPr>
            <w:pStyle w:val="BAS-Normal0"/>
          </w:pPr>
          <w:r>
            <w:t>Florida Prepaid College Board</w:t>
          </w:r>
        </w:p>
      </w:tc>
      <w:tc>
        <w:tcPr>
          <w:tcW w:w="5148" w:type="dxa"/>
        </w:tcPr>
        <w:p w:rsidR="002A3B24" w:rsidRDefault="002A3B24">
          <w:pPr>
            <w:pStyle w:val="BAS-Normal0"/>
            <w:jc w:val="right"/>
          </w:pPr>
          <w:r>
            <w:t>ITN 17-01</w:t>
          </w:r>
        </w:p>
      </w:tc>
    </w:tr>
  </w:tbl>
  <w:p w:rsidR="002A3B24" w:rsidRDefault="002A3B24">
    <w:pPr>
      <w:pStyle w:val="BAS-PlaceHolder"/>
    </w:pPr>
  </w:p>
  <w:p w:rsidR="002A3B24" w:rsidRDefault="002A3B24">
    <w:pPr>
      <w:pStyle w:val="BAS-PlaceHol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A3B24">
      <w:tc>
        <w:tcPr>
          <w:tcW w:w="5148" w:type="dxa"/>
        </w:tcPr>
        <w:p w:rsidR="002A3B24" w:rsidRDefault="002A3B24">
          <w:pPr>
            <w:pStyle w:val="BAS-Normal0"/>
          </w:pPr>
          <w:r>
            <w:t>Florida Prepaid College Board</w:t>
          </w:r>
        </w:p>
      </w:tc>
      <w:tc>
        <w:tcPr>
          <w:tcW w:w="5148" w:type="dxa"/>
        </w:tcPr>
        <w:p w:rsidR="002A3B24" w:rsidRDefault="002A3B24">
          <w:pPr>
            <w:pStyle w:val="BAS-Normal0"/>
            <w:jc w:val="right"/>
          </w:pPr>
          <w:r>
            <w:t>ITN 17-01</w:t>
          </w:r>
        </w:p>
      </w:tc>
    </w:tr>
  </w:tbl>
  <w:p w:rsidR="002A3B24" w:rsidRDefault="002A3B24">
    <w:pPr>
      <w:pStyle w:val="Header"/>
      <w:rPr>
        <w:rFonts w:ascii="Century Gothic" w:hAnsi="Century Gothic"/>
        <w:sz w:val="10"/>
        <w:szCs w:val="10"/>
      </w:rPr>
    </w:pPr>
  </w:p>
  <w:p w:rsidR="002A3B24" w:rsidRDefault="002A3B24">
    <w:pPr>
      <w:pStyle w:val="Header"/>
      <w:rPr>
        <w:rFonts w:ascii="Century Gothic" w:hAnsi="Century Gothic"/>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E4B"/>
    <w:multiLevelType w:val="hybridMultilevel"/>
    <w:tmpl w:val="2150650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03CF44E5"/>
    <w:multiLevelType w:val="hybridMultilevel"/>
    <w:tmpl w:val="A894C1C0"/>
    <w:lvl w:ilvl="0" w:tplc="329288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D0408"/>
    <w:multiLevelType w:val="hybridMultilevel"/>
    <w:tmpl w:val="90582840"/>
    <w:lvl w:ilvl="0" w:tplc="9104EB3C">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2AC4"/>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B5EA2"/>
    <w:multiLevelType w:val="hybridMultilevel"/>
    <w:tmpl w:val="50CAA940"/>
    <w:lvl w:ilvl="0" w:tplc="9FC28740">
      <w:start w:val="1"/>
      <w:numFmt w:val="bullet"/>
      <w:lvlText w:val=""/>
      <w:lvlJc w:val="left"/>
      <w:pPr>
        <w:tabs>
          <w:tab w:val="num" w:pos="720"/>
        </w:tabs>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2C9A"/>
    <w:multiLevelType w:val="hybridMultilevel"/>
    <w:tmpl w:val="98E62F7E"/>
    <w:lvl w:ilvl="0" w:tplc="026E6E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 w15:restartNumberingAfterBreak="0">
    <w:nsid w:val="0C6D6D7B"/>
    <w:multiLevelType w:val="multilevel"/>
    <w:tmpl w:val="07720EB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0DE65D27"/>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 w15:restartNumberingAfterBreak="0">
    <w:nsid w:val="111B7B9D"/>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F7687"/>
    <w:multiLevelType w:val="hybridMultilevel"/>
    <w:tmpl w:val="DBF83EF8"/>
    <w:lvl w:ilvl="0" w:tplc="4754DF32">
      <w:start w:val="3"/>
      <w:numFmt w:val="decimal"/>
      <w:lvlText w:val="%1."/>
      <w:lvlJc w:val="left"/>
      <w:pPr>
        <w:tabs>
          <w:tab w:val="num" w:pos="720"/>
        </w:tabs>
        <w:ind w:left="720" w:hanging="720"/>
      </w:pPr>
      <w:rPr>
        <w:rFonts w:hint="default"/>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F7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2" w15:restartNumberingAfterBreak="0">
    <w:nsid w:val="15337D03"/>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02E70"/>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01B48"/>
    <w:multiLevelType w:val="hybridMultilevel"/>
    <w:tmpl w:val="BBD0A10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2356D"/>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C47BF"/>
    <w:multiLevelType w:val="singleLevel"/>
    <w:tmpl w:val="0409000F"/>
    <w:lvl w:ilvl="0">
      <w:start w:val="1"/>
      <w:numFmt w:val="decimal"/>
      <w:lvlText w:val="%1."/>
      <w:lvlJc w:val="left"/>
      <w:pPr>
        <w:ind w:left="720" w:hanging="360"/>
      </w:pPr>
    </w:lvl>
  </w:abstractNum>
  <w:abstractNum w:abstractNumId="17" w15:restartNumberingAfterBreak="0">
    <w:nsid w:val="1D557B61"/>
    <w:multiLevelType w:val="hybridMultilevel"/>
    <w:tmpl w:val="139246C4"/>
    <w:lvl w:ilvl="0" w:tplc="855C7E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98795A"/>
    <w:multiLevelType w:val="singleLevel"/>
    <w:tmpl w:val="34DE7AF4"/>
    <w:lvl w:ilvl="0">
      <w:start w:val="1"/>
      <w:numFmt w:val="decimal"/>
      <w:lvlText w:val="%1."/>
      <w:lvlJc w:val="left"/>
      <w:pPr>
        <w:tabs>
          <w:tab w:val="num" w:pos="720"/>
        </w:tabs>
        <w:ind w:left="720" w:hanging="720"/>
      </w:pPr>
      <w:rPr>
        <w:rFonts w:hint="default"/>
        <w:color w:val="auto"/>
      </w:rPr>
    </w:lvl>
  </w:abstractNum>
  <w:abstractNum w:abstractNumId="19" w15:restartNumberingAfterBreak="0">
    <w:nsid w:val="1EB9647B"/>
    <w:multiLevelType w:val="hybridMultilevel"/>
    <w:tmpl w:val="1A605D06"/>
    <w:lvl w:ilvl="0" w:tplc="F25077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0" w15:restartNumberingAfterBreak="0">
    <w:nsid w:val="1F9C56CC"/>
    <w:multiLevelType w:val="hybridMultilevel"/>
    <w:tmpl w:val="00AAF1A4"/>
    <w:lvl w:ilvl="0" w:tplc="45A8A9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17A95"/>
    <w:multiLevelType w:val="hybridMultilevel"/>
    <w:tmpl w:val="0D6A0A14"/>
    <w:lvl w:ilvl="0" w:tplc="882EE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3" w15:restartNumberingAfterBreak="0">
    <w:nsid w:val="20D07B6E"/>
    <w:multiLevelType w:val="hybridMultilevel"/>
    <w:tmpl w:val="75244ED4"/>
    <w:lvl w:ilvl="0" w:tplc="B8FACF2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5" w15:restartNumberingAfterBreak="0">
    <w:nsid w:val="263A4274"/>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6" w15:restartNumberingAfterBreak="0">
    <w:nsid w:val="282266BB"/>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9282F"/>
    <w:multiLevelType w:val="hybridMultilevel"/>
    <w:tmpl w:val="75DAAB54"/>
    <w:lvl w:ilvl="0" w:tplc="C48E12A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A95A1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9" w15:restartNumberingAfterBreak="0">
    <w:nsid w:val="2F161224"/>
    <w:multiLevelType w:val="hybridMultilevel"/>
    <w:tmpl w:val="1870071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5D11F9"/>
    <w:multiLevelType w:val="hybridMultilevel"/>
    <w:tmpl w:val="E394320E"/>
    <w:lvl w:ilvl="0" w:tplc="4D88E6F4">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157C1F"/>
    <w:multiLevelType w:val="hybridMultilevel"/>
    <w:tmpl w:val="264EE198"/>
    <w:lvl w:ilvl="0" w:tplc="0409000F">
      <w:start w:val="1"/>
      <w:numFmt w:val="decimal"/>
      <w:lvlText w:val="%1."/>
      <w:lvlJc w:val="left"/>
      <w:pPr>
        <w:ind w:left="720" w:hanging="360"/>
      </w:pPr>
    </w:lvl>
    <w:lvl w:ilvl="1" w:tplc="0658AFD0">
      <w:numFmt w:val="bullet"/>
      <w:lvlText w:val="•"/>
      <w:lvlJc w:val="left"/>
      <w:pPr>
        <w:ind w:left="1800" w:hanging="720"/>
      </w:pPr>
      <w:rPr>
        <w:rFonts w:ascii="Century Gothic" w:eastAsiaTheme="minorHAnsi" w:hAnsi="Century Gothic" w:cstheme="minorBidi" w:hint="default"/>
      </w:rPr>
    </w:lvl>
    <w:lvl w:ilvl="2" w:tplc="107A6EC6">
      <w:start w:val="1"/>
      <w:numFmt w:val="bullet"/>
      <w:lvlText w:val="-"/>
      <w:lvlJc w:val="left"/>
      <w:pPr>
        <w:ind w:left="2340" w:hanging="360"/>
      </w:pPr>
      <w:rPr>
        <w:rFonts w:ascii="Century Gothic" w:eastAsiaTheme="minorHAnsi" w:hAnsi="Century Gothic"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53349B"/>
    <w:multiLevelType w:val="hybridMultilevel"/>
    <w:tmpl w:val="12965A6A"/>
    <w:lvl w:ilvl="0" w:tplc="35C08B24">
      <w:start w:val="1"/>
      <w:numFmt w:val="bullet"/>
      <w:lvlText w:val=""/>
      <w:lvlJc w:val="left"/>
      <w:pPr>
        <w:tabs>
          <w:tab w:val="num" w:pos="630"/>
        </w:tabs>
        <w:ind w:left="630" w:hanging="360"/>
      </w:pPr>
      <w:rPr>
        <w:rFonts w:ascii="Wingdings" w:hAnsi="Wingdings" w:hint="default"/>
        <w:color w:val="auto"/>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350B1D29"/>
    <w:multiLevelType w:val="hybridMultilevel"/>
    <w:tmpl w:val="FB4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551F6"/>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5" w15:restartNumberingAfterBreak="0">
    <w:nsid w:val="36563832"/>
    <w:multiLevelType w:val="hybridMultilevel"/>
    <w:tmpl w:val="0C56B946"/>
    <w:lvl w:ilvl="0" w:tplc="A636F388">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644C5B"/>
    <w:multiLevelType w:val="hybridMultilevel"/>
    <w:tmpl w:val="274ACBF8"/>
    <w:lvl w:ilvl="0" w:tplc="3760CAA6">
      <w:start w:val="1"/>
      <w:numFmt w:val="bullet"/>
      <w:lvlText w:val=""/>
      <w:lvlJc w:val="left"/>
      <w:pPr>
        <w:ind w:left="360" w:hanging="360"/>
      </w:pPr>
      <w:rPr>
        <w:rFonts w:ascii="Wingdings" w:hAnsi="Wingdings" w:hint="default"/>
        <w:color w:val="C0C0C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4B5AEC"/>
    <w:multiLevelType w:val="hybridMultilevel"/>
    <w:tmpl w:val="BF92F076"/>
    <w:lvl w:ilvl="0" w:tplc="609CADE4">
      <w:start w:val="1"/>
      <w:numFmt w:val="decimal"/>
      <w:lvlText w:val="%1."/>
      <w:lvlJc w:val="left"/>
      <w:pPr>
        <w:tabs>
          <w:tab w:val="num" w:pos="736"/>
        </w:tabs>
        <w:ind w:left="7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C222A"/>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40" w15:restartNumberingAfterBreak="0">
    <w:nsid w:val="3F7372A9"/>
    <w:multiLevelType w:val="singleLevel"/>
    <w:tmpl w:val="0409000F"/>
    <w:lvl w:ilvl="0">
      <w:start w:val="1"/>
      <w:numFmt w:val="decimal"/>
      <w:lvlText w:val="%1."/>
      <w:lvlJc w:val="left"/>
      <w:pPr>
        <w:ind w:left="630" w:hanging="360"/>
      </w:pPr>
    </w:lvl>
  </w:abstractNum>
  <w:abstractNum w:abstractNumId="41" w15:restartNumberingAfterBreak="0">
    <w:nsid w:val="3F862C7D"/>
    <w:multiLevelType w:val="hybridMultilevel"/>
    <w:tmpl w:val="F782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3" w15:restartNumberingAfterBreak="0">
    <w:nsid w:val="42B26EFD"/>
    <w:multiLevelType w:val="hybridMultilevel"/>
    <w:tmpl w:val="5D0E3F16"/>
    <w:lvl w:ilvl="0" w:tplc="ABE4DAC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413077"/>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D2A06"/>
    <w:multiLevelType w:val="hybridMultilevel"/>
    <w:tmpl w:val="564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2C680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47" w15:restartNumberingAfterBreak="0">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48" w15:restartNumberingAfterBreak="0">
    <w:nsid w:val="45691B47"/>
    <w:multiLevelType w:val="multilevel"/>
    <w:tmpl w:val="4D18F700"/>
    <w:lvl w:ilvl="0">
      <w:start w:val="1"/>
      <w:numFmt w:val="decimal"/>
      <w:pStyle w:val="BAS-Heading1"/>
      <w:lvlText w:val="%1.0"/>
      <w:lvlJc w:val="left"/>
      <w:pPr>
        <w:ind w:left="792" w:hanging="792"/>
      </w:pPr>
      <w:rPr>
        <w:rFonts w:hint="default"/>
      </w:rPr>
    </w:lvl>
    <w:lvl w:ilvl="1">
      <w:start w:val="1"/>
      <w:numFmt w:val="decimal"/>
      <w:pStyle w:val="BAS-Heading2"/>
      <w:lvlText w:val="%1.%2"/>
      <w:lvlJc w:val="left"/>
      <w:pPr>
        <w:ind w:left="792" w:hanging="792"/>
      </w:pPr>
      <w:rPr>
        <w:rFonts w:hint="default"/>
      </w:rPr>
    </w:lvl>
    <w:lvl w:ilvl="2">
      <w:start w:val="1"/>
      <w:numFmt w:val="decimal"/>
      <w:pStyle w:val="BAS-Heading3"/>
      <w:lvlText w:val="%1.%2.%3"/>
      <w:lvlJc w:val="left"/>
      <w:pPr>
        <w:ind w:left="1800" w:hanging="1008"/>
      </w:pPr>
      <w:rPr>
        <w:rFonts w:hint="default"/>
      </w:rPr>
    </w:lvl>
    <w:lvl w:ilvl="3">
      <w:start w:val="1"/>
      <w:numFmt w:val="decimal"/>
      <w:pStyle w:val="BAS-Normal"/>
      <w:lvlText w:val="%1.%2.%3.%4"/>
      <w:lvlJc w:val="left"/>
      <w:pPr>
        <w:ind w:left="30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574478B"/>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B033D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1"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2" w15:restartNumberingAfterBreak="0">
    <w:nsid w:val="474F772D"/>
    <w:multiLevelType w:val="hybridMultilevel"/>
    <w:tmpl w:val="2F483DAA"/>
    <w:lvl w:ilvl="0" w:tplc="0409000F">
      <w:start w:val="1"/>
      <w:numFmt w:val="decimal"/>
      <w:lvlText w:val="%1."/>
      <w:lvlJc w:val="left"/>
      <w:pPr>
        <w:tabs>
          <w:tab w:val="num" w:pos="736"/>
        </w:tabs>
        <w:ind w:left="736" w:hanging="72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abstractNum w:abstractNumId="53" w15:restartNumberingAfterBreak="0">
    <w:nsid w:val="49B73FF3"/>
    <w:multiLevelType w:val="hybridMultilevel"/>
    <w:tmpl w:val="034CEFCA"/>
    <w:lvl w:ilvl="0" w:tplc="E81627AE">
      <w:start w:val="1"/>
      <w:numFmt w:val="decimal"/>
      <w:lvlText w:val="%1."/>
      <w:lvlJc w:val="left"/>
      <w:pPr>
        <w:tabs>
          <w:tab w:val="num" w:pos="360"/>
        </w:tabs>
        <w:ind w:left="360" w:hanging="360"/>
      </w:pPr>
      <w:rPr>
        <w:rFonts w:hint="default"/>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DE1517"/>
    <w:multiLevelType w:val="hybridMultilevel"/>
    <w:tmpl w:val="69FA235E"/>
    <w:lvl w:ilvl="0" w:tplc="C48E12A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076645"/>
    <w:multiLevelType w:val="hybridMultilevel"/>
    <w:tmpl w:val="273CAC1E"/>
    <w:lvl w:ilvl="0" w:tplc="0A26A42E">
      <w:start w:val="1"/>
      <w:numFmt w:val="lowerLetter"/>
      <w:lvlText w:val="1%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56" w15:restartNumberingAfterBreak="0">
    <w:nsid w:val="4D625B41"/>
    <w:multiLevelType w:val="hybridMultilevel"/>
    <w:tmpl w:val="2DFA33CA"/>
    <w:lvl w:ilvl="0" w:tplc="4D88E6F4">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7" w15:restartNumberingAfterBreak="0">
    <w:nsid w:val="4DE334A0"/>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4F7E00"/>
    <w:multiLevelType w:val="hybridMultilevel"/>
    <w:tmpl w:val="4E8A96B8"/>
    <w:lvl w:ilvl="0" w:tplc="8FF8B322">
      <w:start w:val="1"/>
      <w:numFmt w:val="decimal"/>
      <w:lvlText w:val="%1."/>
      <w:lvlJc w:val="left"/>
      <w:pPr>
        <w:tabs>
          <w:tab w:val="num" w:pos="810"/>
        </w:tabs>
        <w:ind w:left="810" w:hanging="720"/>
      </w:pPr>
      <w:rPr>
        <w:rFonts w:hint="default"/>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0" w15:restartNumberingAfterBreak="0">
    <w:nsid w:val="54DB2DEE"/>
    <w:multiLevelType w:val="hybridMultilevel"/>
    <w:tmpl w:val="A1B8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2" w15:restartNumberingAfterBreak="0">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3" w15:restartNumberingAfterBreak="0">
    <w:nsid w:val="5A2F73E3"/>
    <w:multiLevelType w:val="hybridMultilevel"/>
    <w:tmpl w:val="8FCA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B4493"/>
    <w:multiLevelType w:val="hybridMultilevel"/>
    <w:tmpl w:val="EE48E512"/>
    <w:lvl w:ilvl="0" w:tplc="251CF11C">
      <w:start w:val="1"/>
      <w:numFmt w:val="decimal"/>
      <w:lvlText w:val="%1."/>
      <w:lvlJc w:val="left"/>
      <w:pPr>
        <w:tabs>
          <w:tab w:val="num" w:pos="720"/>
        </w:tabs>
        <w:ind w:left="720" w:hanging="720"/>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B5A612F"/>
    <w:multiLevelType w:val="hybridMultilevel"/>
    <w:tmpl w:val="5A6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0B4E43"/>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EF4F89"/>
    <w:multiLevelType w:val="hybridMultilevel"/>
    <w:tmpl w:val="AF5CF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6728A4"/>
    <w:multiLevelType w:val="hybridMultilevel"/>
    <w:tmpl w:val="13B6A226"/>
    <w:lvl w:ilvl="0" w:tplc="35C08B24">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4153486"/>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C43C29"/>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B130D0"/>
    <w:multiLevelType w:val="singleLevel"/>
    <w:tmpl w:val="0409000F"/>
    <w:lvl w:ilvl="0">
      <w:start w:val="1"/>
      <w:numFmt w:val="decimal"/>
      <w:lvlText w:val="%1."/>
      <w:lvlJc w:val="left"/>
      <w:pPr>
        <w:tabs>
          <w:tab w:val="num" w:pos="360"/>
        </w:tabs>
        <w:ind w:left="360" w:hanging="360"/>
      </w:pPr>
    </w:lvl>
  </w:abstractNum>
  <w:abstractNum w:abstractNumId="72" w15:restartNumberingAfterBreak="0">
    <w:nsid w:val="687E6AF5"/>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834C0C"/>
    <w:multiLevelType w:val="hybridMultilevel"/>
    <w:tmpl w:val="C5BC3D3A"/>
    <w:lvl w:ilvl="0" w:tplc="409CE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CC19C2"/>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C2F69"/>
    <w:multiLevelType w:val="singleLevel"/>
    <w:tmpl w:val="251CF11C"/>
    <w:lvl w:ilvl="0">
      <w:start w:val="1"/>
      <w:numFmt w:val="decimal"/>
      <w:lvlText w:val="%1."/>
      <w:lvlJc w:val="left"/>
      <w:pPr>
        <w:tabs>
          <w:tab w:val="num" w:pos="810"/>
        </w:tabs>
        <w:ind w:left="810" w:hanging="720"/>
      </w:pPr>
      <w:rPr>
        <w:rFonts w:hint="default"/>
        <w:strike w:val="0"/>
        <w:dstrike w:val="0"/>
        <w:color w:val="auto"/>
      </w:rPr>
    </w:lvl>
  </w:abstractNum>
  <w:abstractNum w:abstractNumId="76" w15:restartNumberingAfterBreak="0">
    <w:nsid w:val="74C60E3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7" w15:restartNumberingAfterBreak="0">
    <w:nsid w:val="765F6A39"/>
    <w:multiLevelType w:val="hybridMultilevel"/>
    <w:tmpl w:val="C78C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79" w15:restartNumberingAfterBreak="0">
    <w:nsid w:val="78F819E3"/>
    <w:multiLevelType w:val="singleLevel"/>
    <w:tmpl w:val="5BC2873A"/>
    <w:lvl w:ilvl="0">
      <w:start w:val="1"/>
      <w:numFmt w:val="decimal"/>
      <w:lvlText w:val="%1."/>
      <w:lvlJc w:val="left"/>
      <w:pPr>
        <w:tabs>
          <w:tab w:val="num" w:pos="720"/>
        </w:tabs>
        <w:ind w:left="720" w:hanging="720"/>
      </w:pPr>
      <w:rPr>
        <w:rFonts w:hint="default"/>
      </w:rPr>
    </w:lvl>
  </w:abstractNum>
  <w:abstractNum w:abstractNumId="80" w15:restartNumberingAfterBreak="0">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1" w15:restartNumberingAfterBreak="0">
    <w:nsid w:val="7B6B0777"/>
    <w:multiLevelType w:val="hybridMultilevel"/>
    <w:tmpl w:val="0A6C4360"/>
    <w:lvl w:ilvl="0" w:tplc="DFD23A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83" w15:restartNumberingAfterBreak="0">
    <w:nsid w:val="7D544D6B"/>
    <w:multiLevelType w:val="hybridMultilevel"/>
    <w:tmpl w:val="A03A4BA4"/>
    <w:lvl w:ilvl="0" w:tplc="CE0A05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F9447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48"/>
  </w:num>
  <w:num w:numId="2">
    <w:abstractNumId w:val="48"/>
    <w:lvlOverride w:ilvl="0">
      <w:lvl w:ilvl="0">
        <w:start w:val="1"/>
        <w:numFmt w:val="decimal"/>
        <w:pStyle w:val="BAS-Heading1"/>
        <w:lvlText w:val="%1.0"/>
        <w:lvlJc w:val="left"/>
        <w:pPr>
          <w:ind w:left="792" w:hanging="792"/>
        </w:pPr>
        <w:rPr>
          <w:rFonts w:hint="default"/>
        </w:rPr>
      </w:lvl>
    </w:lvlOverride>
    <w:lvlOverride w:ilvl="1">
      <w:lvl w:ilvl="1">
        <w:start w:val="1"/>
        <w:numFmt w:val="decimal"/>
        <w:pStyle w:val="BAS-Heading2"/>
        <w:lvlText w:val="%1.%2"/>
        <w:lvlJc w:val="left"/>
        <w:pPr>
          <w:ind w:left="792" w:hanging="792"/>
        </w:pPr>
        <w:rPr>
          <w:rFonts w:hint="default"/>
        </w:rPr>
      </w:lvl>
    </w:lvlOverride>
    <w:lvlOverride w:ilvl="2">
      <w:lvl w:ilvl="2">
        <w:start w:val="1"/>
        <w:numFmt w:val="decimal"/>
        <w:pStyle w:val="BAS-Heading3"/>
        <w:lvlText w:val="%1.%2.%3"/>
        <w:lvlJc w:val="left"/>
        <w:pPr>
          <w:ind w:left="792" w:hanging="792"/>
        </w:pPr>
        <w:rPr>
          <w:rFonts w:hint="default"/>
        </w:rPr>
      </w:lvl>
    </w:lvlOverride>
    <w:lvlOverride w:ilvl="3">
      <w:lvl w:ilvl="3">
        <w:start w:val="1"/>
        <w:numFmt w:val="decimal"/>
        <w:pStyle w:val="BAS-Normal"/>
        <w:lvlText w:val="%1.%2.%3.%4"/>
        <w:lvlJc w:val="left"/>
        <w:pPr>
          <w:ind w:left="792" w:hanging="79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1"/>
  </w:num>
  <w:num w:numId="4">
    <w:abstractNumId w:val="67"/>
  </w:num>
  <w:num w:numId="5">
    <w:abstractNumId w:val="63"/>
  </w:num>
  <w:num w:numId="6">
    <w:abstractNumId w:val="55"/>
  </w:num>
  <w:num w:numId="7">
    <w:abstractNumId w:val="7"/>
  </w:num>
  <w:num w:numId="8">
    <w:abstractNumId w:val="44"/>
  </w:num>
  <w:num w:numId="9">
    <w:abstractNumId w:val="70"/>
  </w:num>
  <w:num w:numId="10">
    <w:abstractNumId w:val="15"/>
  </w:num>
  <w:num w:numId="11">
    <w:abstractNumId w:val="0"/>
  </w:num>
  <w:num w:numId="12">
    <w:abstractNumId w:val="3"/>
  </w:num>
  <w:num w:numId="13">
    <w:abstractNumId w:val="69"/>
  </w:num>
  <w:num w:numId="14">
    <w:abstractNumId w:val="13"/>
  </w:num>
  <w:num w:numId="15">
    <w:abstractNumId w:val="38"/>
  </w:num>
  <w:num w:numId="16">
    <w:abstractNumId w:val="14"/>
  </w:num>
  <w:num w:numId="17">
    <w:abstractNumId w:val="57"/>
  </w:num>
  <w:num w:numId="18">
    <w:abstractNumId w:val="74"/>
  </w:num>
  <w:num w:numId="19">
    <w:abstractNumId w:val="9"/>
  </w:num>
  <w:num w:numId="20">
    <w:abstractNumId w:val="72"/>
  </w:num>
  <w:num w:numId="21">
    <w:abstractNumId w:val="12"/>
  </w:num>
  <w:num w:numId="22">
    <w:abstractNumId w:val="49"/>
  </w:num>
  <w:num w:numId="23">
    <w:abstractNumId w:val="73"/>
  </w:num>
  <w:num w:numId="24">
    <w:abstractNumId w:val="29"/>
  </w:num>
  <w:num w:numId="25">
    <w:abstractNumId w:val="66"/>
  </w:num>
  <w:num w:numId="26">
    <w:abstractNumId w:val="26"/>
  </w:num>
  <w:num w:numId="27">
    <w:abstractNumId w:val="65"/>
  </w:num>
  <w:num w:numId="28">
    <w:abstractNumId w:val="45"/>
  </w:num>
  <w:num w:numId="29">
    <w:abstractNumId w:val="62"/>
  </w:num>
  <w:num w:numId="30">
    <w:abstractNumId w:val="22"/>
  </w:num>
  <w:num w:numId="31">
    <w:abstractNumId w:val="78"/>
  </w:num>
  <w:num w:numId="32">
    <w:abstractNumId w:val="42"/>
  </w:num>
  <w:num w:numId="33">
    <w:abstractNumId w:val="18"/>
  </w:num>
  <w:num w:numId="34">
    <w:abstractNumId w:val="80"/>
  </w:num>
  <w:num w:numId="35">
    <w:abstractNumId w:val="39"/>
  </w:num>
  <w:num w:numId="36">
    <w:abstractNumId w:val="75"/>
  </w:num>
  <w:num w:numId="37">
    <w:abstractNumId w:val="82"/>
  </w:num>
  <w:num w:numId="38">
    <w:abstractNumId w:val="51"/>
  </w:num>
  <w:num w:numId="39">
    <w:abstractNumId w:val="61"/>
  </w:num>
  <w:num w:numId="40">
    <w:abstractNumId w:val="46"/>
  </w:num>
  <w:num w:numId="41">
    <w:abstractNumId w:val="71"/>
  </w:num>
  <w:num w:numId="42">
    <w:abstractNumId w:val="47"/>
  </w:num>
  <w:num w:numId="43">
    <w:abstractNumId w:val="59"/>
  </w:num>
  <w:num w:numId="44">
    <w:abstractNumId w:val="6"/>
  </w:num>
  <w:num w:numId="45">
    <w:abstractNumId w:val="24"/>
  </w:num>
  <w:num w:numId="46">
    <w:abstractNumId w:val="32"/>
  </w:num>
  <w:num w:numId="47">
    <w:abstractNumId w:val="81"/>
  </w:num>
  <w:num w:numId="48">
    <w:abstractNumId w:val="30"/>
  </w:num>
  <w:num w:numId="49">
    <w:abstractNumId w:val="52"/>
  </w:num>
  <w:num w:numId="50">
    <w:abstractNumId w:val="19"/>
  </w:num>
  <w:num w:numId="51">
    <w:abstractNumId w:val="56"/>
  </w:num>
  <w:num w:numId="52">
    <w:abstractNumId w:val="21"/>
  </w:num>
  <w:num w:numId="53">
    <w:abstractNumId w:val="33"/>
  </w:num>
  <w:num w:numId="54">
    <w:abstractNumId w:val="23"/>
  </w:num>
  <w:num w:numId="55">
    <w:abstractNumId w:val="28"/>
  </w:num>
  <w:num w:numId="56">
    <w:abstractNumId w:val="50"/>
  </w:num>
  <w:num w:numId="57">
    <w:abstractNumId w:val="84"/>
  </w:num>
  <w:num w:numId="58">
    <w:abstractNumId w:val="16"/>
  </w:num>
  <w:num w:numId="59">
    <w:abstractNumId w:val="40"/>
  </w:num>
  <w:num w:numId="60">
    <w:abstractNumId w:val="25"/>
  </w:num>
  <w:num w:numId="61">
    <w:abstractNumId w:val="11"/>
  </w:num>
  <w:num w:numId="62">
    <w:abstractNumId w:val="34"/>
  </w:num>
  <w:num w:numId="63">
    <w:abstractNumId w:val="8"/>
  </w:num>
  <w:num w:numId="64">
    <w:abstractNumId w:val="79"/>
  </w:num>
  <w:num w:numId="65">
    <w:abstractNumId w:val="76"/>
  </w:num>
  <w:num w:numId="66">
    <w:abstractNumId w:val="64"/>
  </w:num>
  <w:num w:numId="67">
    <w:abstractNumId w:val="5"/>
  </w:num>
  <w:num w:numId="68">
    <w:abstractNumId w:val="27"/>
  </w:num>
  <w:num w:numId="69">
    <w:abstractNumId w:val="54"/>
  </w:num>
  <w:num w:numId="70">
    <w:abstractNumId w:val="4"/>
  </w:num>
  <w:num w:numId="71">
    <w:abstractNumId w:val="10"/>
  </w:num>
  <w:num w:numId="72">
    <w:abstractNumId w:val="77"/>
  </w:num>
  <w:num w:numId="73">
    <w:abstractNumId w:val="60"/>
  </w:num>
  <w:num w:numId="74">
    <w:abstractNumId w:val="68"/>
  </w:num>
  <w:num w:numId="75">
    <w:abstractNumId w:val="41"/>
  </w:num>
  <w:num w:numId="76">
    <w:abstractNumId w:val="36"/>
  </w:num>
  <w:num w:numId="77">
    <w:abstractNumId w:val="20"/>
  </w:num>
  <w:num w:numId="78">
    <w:abstractNumId w:val="58"/>
  </w:num>
  <w:num w:numId="79">
    <w:abstractNumId w:val="43"/>
  </w:num>
  <w:num w:numId="80">
    <w:abstractNumId w:val="53"/>
  </w:num>
  <w:num w:numId="81">
    <w:abstractNumId w:val="17"/>
  </w:num>
  <w:num w:numId="82">
    <w:abstractNumId w:val="83"/>
  </w:num>
  <w:num w:numId="83">
    <w:abstractNumId w:val="37"/>
  </w:num>
  <w:num w:numId="84">
    <w:abstractNumId w:val="2"/>
  </w:num>
  <w:num w:numId="85">
    <w:abstractNumId w:val="1"/>
  </w:num>
  <w:num w:numId="86">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02"/>
    <w:rsid w:val="00042E27"/>
    <w:rsid w:val="00052EFE"/>
    <w:rsid w:val="001B3817"/>
    <w:rsid w:val="00210249"/>
    <w:rsid w:val="00227E7B"/>
    <w:rsid w:val="0023582C"/>
    <w:rsid w:val="002428B0"/>
    <w:rsid w:val="002A3B24"/>
    <w:rsid w:val="002B103C"/>
    <w:rsid w:val="002D748F"/>
    <w:rsid w:val="0030753C"/>
    <w:rsid w:val="003364A2"/>
    <w:rsid w:val="00437D22"/>
    <w:rsid w:val="0046752C"/>
    <w:rsid w:val="00495057"/>
    <w:rsid w:val="00565D2A"/>
    <w:rsid w:val="00572793"/>
    <w:rsid w:val="005B7A06"/>
    <w:rsid w:val="006523F2"/>
    <w:rsid w:val="006A700B"/>
    <w:rsid w:val="00731235"/>
    <w:rsid w:val="0076704B"/>
    <w:rsid w:val="008405AB"/>
    <w:rsid w:val="008446B3"/>
    <w:rsid w:val="00844A23"/>
    <w:rsid w:val="00844EAB"/>
    <w:rsid w:val="008C5C2A"/>
    <w:rsid w:val="008D55B7"/>
    <w:rsid w:val="00974902"/>
    <w:rsid w:val="00A103A6"/>
    <w:rsid w:val="00A97320"/>
    <w:rsid w:val="00AC3168"/>
    <w:rsid w:val="00AF24A7"/>
    <w:rsid w:val="00B46146"/>
    <w:rsid w:val="00BD365B"/>
    <w:rsid w:val="00C21E49"/>
    <w:rsid w:val="00C83816"/>
    <w:rsid w:val="00D07BBA"/>
    <w:rsid w:val="00D966F6"/>
    <w:rsid w:val="00E33185"/>
    <w:rsid w:val="00E72210"/>
    <w:rsid w:val="00E860BF"/>
    <w:rsid w:val="00EB190C"/>
    <w:rsid w:val="00F16899"/>
    <w:rsid w:val="00F3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67765"/>
  <w15:docId w15:val="{0D550800-594C-4459-B49F-2DAE93B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7"/>
      </w:numPr>
      <w:spacing w:before="200" w:after="0" w:line="360" w:lineRule="auto"/>
      <w:jc w:val="both"/>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pPr>
      <w:keepNext/>
      <w:keepLines/>
      <w:numPr>
        <w:ilvl w:val="5"/>
        <w:numId w:val="7"/>
      </w:numPr>
      <w:spacing w:before="200" w:after="0" w:line="360" w:lineRule="auto"/>
      <w:jc w:val="both"/>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pPr>
      <w:keepNext/>
      <w:keepLines/>
      <w:numPr>
        <w:ilvl w:val="6"/>
        <w:numId w:val="7"/>
      </w:numPr>
      <w:spacing w:before="200" w:after="0" w:line="360" w:lineRule="auto"/>
      <w:jc w:val="both"/>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pPr>
      <w:keepNext/>
      <w:keepLines/>
      <w:numPr>
        <w:ilvl w:val="7"/>
        <w:numId w:val="7"/>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7"/>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Title">
    <w:name w:val="BAS-Title"/>
    <w:basedOn w:val="Normal"/>
    <w:link w:val="BAS-TitleChar"/>
    <w:qFormat/>
    <w:pPr>
      <w:spacing w:after="240" w:line="240" w:lineRule="auto"/>
    </w:pPr>
    <w:rPr>
      <w:rFonts w:ascii="Century Gothic" w:hAnsi="Century Gothic"/>
      <w:b/>
      <w:sz w:val="40"/>
      <w:szCs w:val="40"/>
    </w:rPr>
  </w:style>
  <w:style w:type="paragraph" w:customStyle="1" w:styleId="BAS-Subtitle1">
    <w:name w:val="BAS-Subtitle_1"/>
    <w:basedOn w:val="Normal"/>
    <w:link w:val="BAS-Subtitle1Char"/>
    <w:qFormat/>
    <w:pPr>
      <w:spacing w:before="120" w:after="120" w:line="240" w:lineRule="auto"/>
    </w:pPr>
    <w:rPr>
      <w:rFonts w:ascii="Century Gothic" w:hAnsi="Century Gothic"/>
      <w:i/>
      <w:sz w:val="32"/>
      <w:szCs w:val="40"/>
    </w:rPr>
  </w:style>
  <w:style w:type="character" w:customStyle="1" w:styleId="BAS-TitleChar">
    <w:name w:val="BAS-Title Char"/>
    <w:basedOn w:val="DefaultParagraphFont"/>
    <w:link w:val="BAS-Title"/>
    <w:rPr>
      <w:rFonts w:ascii="Century Gothic" w:hAnsi="Century Gothic"/>
      <w:b/>
      <w:sz w:val="40"/>
      <w:szCs w:val="40"/>
    </w:rPr>
  </w:style>
  <w:style w:type="paragraph" w:customStyle="1" w:styleId="BAS-Subtitle2">
    <w:name w:val="BAS-Subtitle_2"/>
    <w:basedOn w:val="Normal"/>
    <w:link w:val="BAS-Subtitle2Char"/>
    <w:qFormat/>
    <w:pPr>
      <w:spacing w:before="120" w:after="120" w:line="240" w:lineRule="auto"/>
    </w:pPr>
    <w:rPr>
      <w:rFonts w:ascii="Century Gothic" w:hAnsi="Century Gothic"/>
      <w:sz w:val="32"/>
      <w:szCs w:val="40"/>
    </w:rPr>
  </w:style>
  <w:style w:type="character" w:customStyle="1" w:styleId="BAS-Subtitle1Char">
    <w:name w:val="BAS-Subtitle_1 Char"/>
    <w:basedOn w:val="DefaultParagraphFont"/>
    <w:link w:val="BAS-Subtitle1"/>
    <w:rPr>
      <w:rFonts w:ascii="Century Gothic" w:hAnsi="Century Gothic"/>
      <w:i/>
      <w:sz w:val="32"/>
      <w:szCs w:val="40"/>
    </w:rPr>
  </w:style>
  <w:style w:type="paragraph" w:customStyle="1" w:styleId="BAS-Normal0">
    <w:name w:val="BAS-Normal"/>
    <w:basedOn w:val="Normal"/>
    <w:link w:val="BAS-NormalChar"/>
    <w:qFormat/>
    <w:pPr>
      <w:spacing w:after="0"/>
      <w:jc w:val="both"/>
    </w:pPr>
    <w:rPr>
      <w:rFonts w:ascii="Century Gothic" w:hAnsi="Century Gothic"/>
      <w:sz w:val="20"/>
      <w:szCs w:val="24"/>
    </w:rPr>
  </w:style>
  <w:style w:type="character" w:customStyle="1" w:styleId="BAS-Subtitle2Char">
    <w:name w:val="BAS-Subtitle_2 Char"/>
    <w:basedOn w:val="DefaultParagraphFont"/>
    <w:link w:val="BAS-Subtitle2"/>
    <w:rPr>
      <w:rFonts w:ascii="Century Gothic" w:hAnsi="Century Gothic"/>
      <w:sz w:val="32"/>
      <w:szCs w:val="40"/>
    </w:rPr>
  </w:style>
  <w:style w:type="paragraph" w:customStyle="1" w:styleId="BAS-Heading1">
    <w:name w:val="BAS-Heading1"/>
    <w:basedOn w:val="BAS-Normal0"/>
    <w:link w:val="BAS-Heading1Char"/>
    <w:qFormat/>
    <w:pPr>
      <w:numPr>
        <w:numId w:val="1"/>
      </w:numPr>
      <w:spacing w:before="120" w:after="120"/>
      <w:outlineLvl w:val="0"/>
    </w:pPr>
    <w:rPr>
      <w:b/>
      <w:caps/>
    </w:rPr>
  </w:style>
  <w:style w:type="character" w:customStyle="1" w:styleId="BAS-NormalChar">
    <w:name w:val="BAS-Normal Char"/>
    <w:basedOn w:val="DefaultParagraphFont"/>
    <w:link w:val="BAS-Normal0"/>
    <w:rPr>
      <w:rFonts w:ascii="Century Gothic" w:hAnsi="Century Gothic"/>
      <w:sz w:val="20"/>
      <w:szCs w:val="24"/>
    </w:rPr>
  </w:style>
  <w:style w:type="paragraph" w:customStyle="1" w:styleId="BAS-Heading2">
    <w:name w:val="BAS-Heading2"/>
    <w:basedOn w:val="BAS-Normal0"/>
    <w:link w:val="BAS-Heading2Char"/>
    <w:qFormat/>
    <w:pPr>
      <w:keepNext/>
      <w:numPr>
        <w:ilvl w:val="1"/>
        <w:numId w:val="1"/>
      </w:numPr>
      <w:spacing w:before="120" w:after="120"/>
      <w:outlineLvl w:val="1"/>
    </w:pPr>
    <w:rPr>
      <w:b/>
    </w:rPr>
  </w:style>
  <w:style w:type="character" w:customStyle="1" w:styleId="BAS-Heading1Char">
    <w:name w:val="BAS-Heading1 Char"/>
    <w:basedOn w:val="BAS-NormalChar"/>
    <w:link w:val="BAS-Heading1"/>
    <w:rPr>
      <w:rFonts w:ascii="Century Gothic" w:hAnsi="Century Gothic"/>
      <w:b/>
      <w:caps/>
      <w:sz w:val="20"/>
      <w:szCs w:val="24"/>
    </w:rPr>
  </w:style>
  <w:style w:type="paragraph" w:customStyle="1" w:styleId="BAS-Heading3">
    <w:name w:val="BAS-Heading3"/>
    <w:basedOn w:val="BAS-Normal0"/>
    <w:link w:val="BAS-Heading3Char"/>
    <w:qFormat/>
    <w:pPr>
      <w:keepNext/>
      <w:numPr>
        <w:ilvl w:val="2"/>
        <w:numId w:val="2"/>
      </w:numPr>
      <w:spacing w:before="120" w:after="120"/>
      <w:outlineLvl w:val="2"/>
    </w:pPr>
    <w:rPr>
      <w:b/>
      <w:i/>
    </w:rPr>
  </w:style>
  <w:style w:type="character" w:customStyle="1" w:styleId="BAS-Heading2Char">
    <w:name w:val="BAS-Heading2 Char"/>
    <w:basedOn w:val="BAS-NormalChar"/>
    <w:link w:val="BAS-Heading2"/>
    <w:rPr>
      <w:rFonts w:ascii="Century Gothic" w:hAnsi="Century Gothic"/>
      <w:b/>
      <w:sz w:val="20"/>
      <w:szCs w:val="24"/>
    </w:rPr>
  </w:style>
  <w:style w:type="paragraph" w:customStyle="1" w:styleId="BAS-Normal">
    <w:name w:val="BAS-Normal#"/>
    <w:basedOn w:val="BAS-Normal0"/>
    <w:link w:val="BAS-NormalChar0"/>
    <w:qFormat/>
    <w:pPr>
      <w:numPr>
        <w:ilvl w:val="3"/>
        <w:numId w:val="1"/>
      </w:numPr>
    </w:pPr>
  </w:style>
  <w:style w:type="character" w:customStyle="1" w:styleId="BAS-Heading3Char">
    <w:name w:val="BAS-Heading3 Char"/>
    <w:basedOn w:val="BAS-NormalChar"/>
    <w:link w:val="BAS-Heading3"/>
    <w:rPr>
      <w:rFonts w:ascii="Century Gothic" w:hAnsi="Century Gothic"/>
      <w:b/>
      <w:i/>
      <w:sz w:val="20"/>
      <w:szCs w:val="24"/>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BAS-NormalChar0">
    <w:name w:val="BAS-Normal# Char"/>
    <w:basedOn w:val="BAS-NormalChar"/>
    <w:link w:val="BAS-Normal"/>
    <w:rPr>
      <w:rFonts w:ascii="Century Gothic" w:hAnsi="Century Gothic"/>
      <w:sz w:val="20"/>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Pr>
      <w:color w:val="0000FF" w:themeColor="hyperlink"/>
      <w:u w:val="single"/>
    </w:rPr>
  </w:style>
  <w:style w:type="paragraph" w:styleId="TOC1">
    <w:name w:val="toc 1"/>
    <w:basedOn w:val="BAS-Normal0"/>
    <w:next w:val="Normal"/>
    <w:autoRedefine/>
    <w:uiPriority w:val="39"/>
    <w:unhideWhenUsed/>
    <w:pPr>
      <w:tabs>
        <w:tab w:val="left" w:pos="660"/>
        <w:tab w:val="left" w:pos="1440"/>
        <w:tab w:val="right" w:leader="dot" w:pos="10070"/>
      </w:tabs>
      <w:spacing w:before="60"/>
    </w:pPr>
  </w:style>
  <w:style w:type="paragraph" w:styleId="TOC2">
    <w:name w:val="toc 2"/>
    <w:basedOn w:val="BAS-Normal0"/>
    <w:next w:val="Normal"/>
    <w:autoRedefine/>
    <w:uiPriority w:val="39"/>
    <w:unhideWhenUsed/>
    <w:pPr>
      <w:ind w:left="216"/>
    </w:pPr>
  </w:style>
  <w:style w:type="paragraph" w:styleId="TOC3">
    <w:name w:val="toc 3"/>
    <w:basedOn w:val="BAS-Normal0"/>
    <w:next w:val="Normal"/>
    <w:autoRedefine/>
    <w:uiPriority w:val="39"/>
    <w:unhideWhenUsed/>
    <w:pPr>
      <w:ind w:left="446"/>
    </w:pPr>
  </w:style>
  <w:style w:type="paragraph" w:customStyle="1" w:styleId="BAS-Heading1Alt">
    <w:name w:val="BAS-Heading1Alt"/>
    <w:basedOn w:val="BAS-Heading1"/>
    <w:link w:val="BAS-Heading1AltChar"/>
    <w:qFormat/>
    <w:pPr>
      <w:numPr>
        <w:numId w:val="0"/>
      </w:numPr>
      <w:outlineLvl w:val="9"/>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BAS-Heading1AltChar">
    <w:name w:val="BAS-Heading1Alt Char"/>
    <w:basedOn w:val="BAS-Heading1Char"/>
    <w:link w:val="BAS-Heading1Alt"/>
    <w:rPr>
      <w:rFonts w:ascii="Century Gothic" w:hAnsi="Century Gothic"/>
      <w:b/>
      <w:caps/>
      <w:sz w:val="20"/>
      <w:szCs w:val="24"/>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BAS-PlaceHolder">
    <w:name w:val="BAS-PlaceHolder"/>
    <w:basedOn w:val="BAS-Normal0"/>
    <w:link w:val="BAS-PlaceHolderChar"/>
    <w:qFormat/>
    <w:rPr>
      <w:sz w:val="10"/>
      <w:szCs w:val="10"/>
    </w:rPr>
  </w:style>
  <w:style w:type="character" w:customStyle="1" w:styleId="BAS-PlaceHolderChar">
    <w:name w:val="BAS-PlaceHolder Char"/>
    <w:basedOn w:val="BAS-NormalChar"/>
    <w:link w:val="BAS-PlaceHolder"/>
    <w:rPr>
      <w:rFonts w:ascii="Century Gothic" w:hAnsi="Century Gothic"/>
      <w:sz w:val="10"/>
      <w:szCs w:val="1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character" w:customStyle="1" w:styleId="ptext-31">
    <w:name w:val="ptext-31"/>
    <w:basedOn w:val="DefaultParagraphFont"/>
  </w:style>
  <w:style w:type="character" w:customStyle="1" w:styleId="enumxml1">
    <w:name w:val="enumxml1"/>
    <w:basedOn w:val="DefaultParagraphFon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spacing w:after="120" w:line="360" w:lineRule="auto"/>
      <w:jc w:val="center"/>
    </w:pPr>
    <w:rPr>
      <w:rFonts w:ascii="Century Gothic" w:hAnsi="Century Gothic"/>
      <w:b/>
      <w:caps/>
      <w:sz w:val="20"/>
      <w:szCs w:val="20"/>
    </w:rPr>
  </w:style>
  <w:style w:type="character" w:customStyle="1" w:styleId="TitleChar">
    <w:name w:val="Title Char"/>
    <w:basedOn w:val="DefaultParagraphFont"/>
    <w:link w:val="Title"/>
    <w:uiPriority w:val="10"/>
    <w:rPr>
      <w:rFonts w:ascii="Century Gothic" w:hAnsi="Century Gothic"/>
      <w:b/>
      <w:caps/>
      <w:sz w:val="20"/>
      <w:szCs w:val="20"/>
    </w:rPr>
  </w:style>
  <w:style w:type="paragraph" w:customStyle="1" w:styleId="AltNormal">
    <w:name w:val="Alt Normal"/>
    <w:basedOn w:val="Normal"/>
    <w:link w:val="AltNormalChar"/>
    <w:qFormat/>
    <w:pPr>
      <w:spacing w:after="120" w:line="360" w:lineRule="auto"/>
      <w:jc w:val="both"/>
    </w:pPr>
    <w:rPr>
      <w:rFonts w:ascii="Century Gothic" w:hAnsi="Century Gothic"/>
      <w:sz w:val="20"/>
      <w:szCs w:val="20"/>
    </w:rPr>
  </w:style>
  <w:style w:type="character" w:customStyle="1" w:styleId="AltNormalChar">
    <w:name w:val="Alt Normal Char"/>
    <w:basedOn w:val="DefaultParagraphFont"/>
    <w:link w:val="AltNormal"/>
    <w:rPr>
      <w:rFonts w:ascii="Century Gothic" w:hAnsi="Century Gothic"/>
      <w:sz w:val="20"/>
      <w:szCs w:val="20"/>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0" w:line="240" w:lineRule="auto"/>
      <w:ind w:left="720"/>
      <w:jc w:val="both"/>
    </w:pPr>
    <w:rPr>
      <w:rFonts w:ascii="Times New Roman" w:eastAsia="Times New Roman" w:hAnsi="Times New Roman" w:cs="Times New Roman"/>
      <w:color w:val="0000FF"/>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color w:val="0000FF"/>
      <w:sz w:val="24"/>
      <w:szCs w:val="20"/>
    </w:rPr>
  </w:style>
  <w:style w:type="character" w:styleId="PageNumber">
    <w:name w:val="page number"/>
    <w:basedOn w:val="DefaultParagraphFont"/>
    <w:unhideWhenUsed/>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NoSpacing">
    <w:name w:val="No Spacing"/>
    <w:uiPriority w:val="1"/>
    <w:qFormat/>
    <w:rsid w:val="00BD365B"/>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323">
      <w:bodyDiv w:val="1"/>
      <w:marLeft w:val="0"/>
      <w:marRight w:val="0"/>
      <w:marTop w:val="0"/>
      <w:marBottom w:val="0"/>
      <w:divBdr>
        <w:top w:val="none" w:sz="0" w:space="0" w:color="auto"/>
        <w:left w:val="none" w:sz="0" w:space="0" w:color="auto"/>
        <w:bottom w:val="none" w:sz="0" w:space="0" w:color="auto"/>
        <w:right w:val="none" w:sz="0" w:space="0" w:color="auto"/>
      </w:divBdr>
    </w:div>
    <w:div w:id="670331033">
      <w:bodyDiv w:val="1"/>
      <w:marLeft w:val="0"/>
      <w:marRight w:val="0"/>
      <w:marTop w:val="0"/>
      <w:marBottom w:val="0"/>
      <w:divBdr>
        <w:top w:val="none" w:sz="0" w:space="0" w:color="auto"/>
        <w:left w:val="none" w:sz="0" w:space="0" w:color="auto"/>
        <w:bottom w:val="none" w:sz="0" w:space="0" w:color="auto"/>
        <w:right w:val="none" w:sz="0" w:space="0" w:color="auto"/>
      </w:divBdr>
    </w:div>
    <w:div w:id="1414470631">
      <w:bodyDiv w:val="1"/>
      <w:marLeft w:val="0"/>
      <w:marRight w:val="0"/>
      <w:marTop w:val="0"/>
      <w:marBottom w:val="0"/>
      <w:divBdr>
        <w:top w:val="none" w:sz="0" w:space="0" w:color="auto"/>
        <w:left w:val="none" w:sz="0" w:space="0" w:color="auto"/>
        <w:bottom w:val="none" w:sz="0" w:space="0" w:color="auto"/>
        <w:right w:val="none" w:sz="0" w:space="0" w:color="auto"/>
      </w:divBdr>
      <w:divsChild>
        <w:div w:id="1744528173">
          <w:marLeft w:val="0"/>
          <w:marRight w:val="0"/>
          <w:marTop w:val="0"/>
          <w:marBottom w:val="0"/>
          <w:divBdr>
            <w:top w:val="none" w:sz="0" w:space="0" w:color="auto"/>
            <w:left w:val="none" w:sz="0" w:space="0" w:color="auto"/>
            <w:bottom w:val="none" w:sz="0" w:space="0" w:color="auto"/>
            <w:right w:val="none" w:sz="0" w:space="0" w:color="auto"/>
          </w:divBdr>
          <w:divsChild>
            <w:div w:id="559361213">
              <w:marLeft w:val="0"/>
              <w:marRight w:val="0"/>
              <w:marTop w:val="0"/>
              <w:marBottom w:val="0"/>
              <w:divBdr>
                <w:top w:val="none" w:sz="0" w:space="0" w:color="auto"/>
                <w:left w:val="none" w:sz="0" w:space="0" w:color="auto"/>
                <w:bottom w:val="none" w:sz="0" w:space="0" w:color="auto"/>
                <w:right w:val="none" w:sz="0" w:space="0" w:color="auto"/>
              </w:divBdr>
              <w:divsChild>
                <w:div w:id="494298457">
                  <w:marLeft w:val="0"/>
                  <w:marRight w:val="0"/>
                  <w:marTop w:val="0"/>
                  <w:marBottom w:val="0"/>
                  <w:divBdr>
                    <w:top w:val="none" w:sz="0" w:space="0" w:color="auto"/>
                    <w:left w:val="none" w:sz="0" w:space="0" w:color="auto"/>
                    <w:bottom w:val="none" w:sz="0" w:space="0" w:color="auto"/>
                    <w:right w:val="none" w:sz="0" w:space="0" w:color="auto"/>
                  </w:divBdr>
                  <w:divsChild>
                    <w:div w:id="609505463">
                      <w:marLeft w:val="0"/>
                      <w:marRight w:val="0"/>
                      <w:marTop w:val="0"/>
                      <w:marBottom w:val="0"/>
                      <w:divBdr>
                        <w:top w:val="none" w:sz="0" w:space="0" w:color="auto"/>
                        <w:left w:val="none" w:sz="0" w:space="0" w:color="auto"/>
                        <w:bottom w:val="none" w:sz="0" w:space="0" w:color="auto"/>
                        <w:right w:val="none" w:sz="0" w:space="0" w:color="auto"/>
                      </w:divBdr>
                      <w:divsChild>
                        <w:div w:id="654797295">
                          <w:marLeft w:val="0"/>
                          <w:marRight w:val="0"/>
                          <w:marTop w:val="0"/>
                          <w:marBottom w:val="0"/>
                          <w:divBdr>
                            <w:top w:val="none" w:sz="0" w:space="0" w:color="auto"/>
                            <w:left w:val="none" w:sz="0" w:space="0" w:color="auto"/>
                            <w:bottom w:val="none" w:sz="0" w:space="0" w:color="auto"/>
                            <w:right w:val="none" w:sz="0" w:space="0" w:color="auto"/>
                          </w:divBdr>
                          <w:divsChild>
                            <w:div w:id="235096821">
                              <w:marLeft w:val="0"/>
                              <w:marRight w:val="0"/>
                              <w:marTop w:val="0"/>
                              <w:marBottom w:val="0"/>
                              <w:divBdr>
                                <w:top w:val="none" w:sz="0" w:space="0" w:color="auto"/>
                                <w:left w:val="none" w:sz="0" w:space="0" w:color="auto"/>
                                <w:bottom w:val="none" w:sz="0" w:space="0" w:color="auto"/>
                                <w:right w:val="none" w:sz="0" w:space="0" w:color="auto"/>
                              </w:divBdr>
                              <w:divsChild>
                                <w:div w:id="924457429">
                                  <w:marLeft w:val="0"/>
                                  <w:marRight w:val="0"/>
                                  <w:marTop w:val="0"/>
                                  <w:marBottom w:val="0"/>
                                  <w:divBdr>
                                    <w:top w:val="none" w:sz="0" w:space="0" w:color="auto"/>
                                    <w:left w:val="none" w:sz="0" w:space="0" w:color="auto"/>
                                    <w:bottom w:val="none" w:sz="0" w:space="0" w:color="auto"/>
                                    <w:right w:val="none" w:sz="0" w:space="0" w:color="auto"/>
                                  </w:divBdr>
                                  <w:divsChild>
                                    <w:div w:id="2091190724">
                                      <w:marLeft w:val="0"/>
                                      <w:marRight w:val="0"/>
                                      <w:marTop w:val="0"/>
                                      <w:marBottom w:val="0"/>
                                      <w:divBdr>
                                        <w:top w:val="none" w:sz="0" w:space="0" w:color="auto"/>
                                        <w:left w:val="none" w:sz="0" w:space="0" w:color="auto"/>
                                        <w:bottom w:val="none" w:sz="0" w:space="0" w:color="auto"/>
                                        <w:right w:val="none" w:sz="0" w:space="0" w:color="auto"/>
                                      </w:divBdr>
                                      <w:divsChild>
                                        <w:div w:id="1446851591">
                                          <w:marLeft w:val="0"/>
                                          <w:marRight w:val="0"/>
                                          <w:marTop w:val="0"/>
                                          <w:marBottom w:val="0"/>
                                          <w:divBdr>
                                            <w:top w:val="none" w:sz="0" w:space="0" w:color="auto"/>
                                            <w:left w:val="none" w:sz="0" w:space="0" w:color="auto"/>
                                            <w:bottom w:val="none" w:sz="0" w:space="0" w:color="auto"/>
                                            <w:right w:val="none" w:sz="0" w:space="0" w:color="auto"/>
                                          </w:divBdr>
                                          <w:divsChild>
                                            <w:div w:id="730543436">
                                              <w:marLeft w:val="0"/>
                                              <w:marRight w:val="0"/>
                                              <w:marTop w:val="0"/>
                                              <w:marBottom w:val="0"/>
                                              <w:divBdr>
                                                <w:top w:val="none" w:sz="0" w:space="0" w:color="auto"/>
                                                <w:left w:val="none" w:sz="0" w:space="0" w:color="auto"/>
                                                <w:bottom w:val="none" w:sz="0" w:space="0" w:color="auto"/>
                                                <w:right w:val="none" w:sz="0" w:space="0" w:color="auto"/>
                                              </w:divBdr>
                                            </w:div>
                                            <w:div w:id="1180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6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Ninfo.Prepaid@MyFloridaPrepaid.com" TargetMode="External"/><Relationship Id="rId13" Type="http://schemas.openxmlformats.org/officeDocument/2006/relationships/hyperlink" Target="http://myflorida.com/apps/vbs/vbs_www.main_menu" TargetMode="Externa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lrules.org" TargetMode="External"/><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loridaprepaid.com/"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floridaprepaidcollegefoundation.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yfloridaprepaid.com/who-we-are/about-the-board/board-reports-and-plans/" TargetMode="External"/><Relationship Id="rId22" Type="http://schemas.openxmlformats.org/officeDocument/2006/relationships/footer" Target="foot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C5D5-9D49-429E-8F93-61EA190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25738</Words>
  <Characters>146707</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Smithson_Jeff</cp:lastModifiedBy>
  <cp:revision>2</cp:revision>
  <cp:lastPrinted>2017-05-04T21:18:00Z</cp:lastPrinted>
  <dcterms:created xsi:type="dcterms:W3CDTF">2017-05-05T21:03:00Z</dcterms:created>
  <dcterms:modified xsi:type="dcterms:W3CDTF">2017-05-05T21:03:00Z</dcterms:modified>
</cp:coreProperties>
</file>